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after="100" w:line="560" w:lineRule="exact"/>
        <w:jc w:val="center"/>
        <w:rPr>
          <w:rFonts w:hint="default" w:ascii="方正小标宋_GBK" w:hAnsi="方正小标宋_GBK" w:eastAsia="方正小标宋_GBK" w:cs="方正小标宋_GBK"/>
          <w:b w:val="0"/>
          <w:bCs/>
          <w:sz w:val="44"/>
          <w:szCs w:val="32"/>
          <w:u w:val="none"/>
          <w:shd w:val="clear" w:color="auto" w:fill="FFFFFF"/>
          <w:lang w:val="en-US" w:eastAsia="zh-CN"/>
        </w:rPr>
      </w:pPr>
      <w:r>
        <w:rPr>
          <w:rFonts w:hint="eastAsia" w:ascii="方正小标宋简体" w:hAnsi="方正小标宋简体" w:eastAsia="方正小标宋简体" w:cs="方正小标宋简体"/>
          <w:b w:val="0"/>
          <w:bCs w:val="0"/>
          <w:kern w:val="2"/>
          <w:sz w:val="44"/>
          <w:szCs w:val="44"/>
          <w:shd w:val="clear"/>
          <w:lang w:val="en-US" w:eastAsia="zh-CN"/>
        </w:rPr>
        <w:t>华冉烟墩、景峡风电场油品库、危废品库采购</w:t>
      </w:r>
      <w:r>
        <w:rPr>
          <w:rFonts w:hint="eastAsia" w:ascii="方正小标宋简体" w:hAnsi="方正小标宋简体" w:eastAsia="方正小标宋简体" w:cs="方正小标宋简体"/>
          <w:b w:val="0"/>
          <w:bCs w:val="0"/>
          <w:sz w:val="44"/>
          <w:szCs w:val="44"/>
          <w:shd w:val="clear"/>
        </w:rPr>
        <w:t>项目询价</w:t>
      </w:r>
      <w:r>
        <w:rPr>
          <w:rFonts w:hint="eastAsia" w:ascii="方正小标宋简体" w:hAnsi="方正小标宋简体" w:eastAsia="方正小标宋简体" w:cs="方正小标宋简体"/>
          <w:b w:val="0"/>
          <w:bCs w:val="0"/>
          <w:sz w:val="44"/>
          <w:szCs w:val="44"/>
          <w:shd w:val="clear"/>
          <w:lang w:val="en-US" w:eastAsia="zh-CN"/>
        </w:rPr>
        <w:t>采购公告</w:t>
      </w:r>
    </w:p>
    <w:p>
      <w:pPr>
        <w:spacing w:line="560" w:lineRule="exact"/>
        <w:ind w:firstLine="640" w:firstLineChars="200"/>
        <w:rPr>
          <w:rFonts w:ascii="黑体" w:hAnsi="黑体" w:eastAsia="黑体" w:cs="Arial"/>
          <w:kern w:val="0"/>
          <w:sz w:val="32"/>
          <w:szCs w:val="32"/>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1.采购单位：</w:t>
      </w:r>
      <w:r>
        <w:rPr>
          <w:rFonts w:hint="eastAsia" w:ascii="仿宋_GB2312" w:hAnsi="仿宋_GB2312" w:eastAsia="仿宋_GB2312" w:cs="仿宋_GB2312"/>
          <w:kern w:val="0"/>
          <w:sz w:val="32"/>
          <w:szCs w:val="32"/>
          <w:lang w:val="en-US" w:eastAsia="zh-CN"/>
        </w:rPr>
        <w:t>新疆华冉东方新能源有限公司、哈密华冉东方景峡风力发电有限公司</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b w:val="0"/>
          <w:bCs w:val="0"/>
          <w:kern w:val="0"/>
          <w:sz w:val="32"/>
          <w:szCs w:val="32"/>
          <w:lang w:val="en-US" w:eastAsia="zh-CN"/>
        </w:rPr>
        <w:t>华冉烟墩、景峡风电场油品库、危废品库采购项目</w:t>
      </w:r>
    </w:p>
    <w:p>
      <w:pPr>
        <w:spacing w:line="56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sz w:val="32"/>
          <w:szCs w:val="32"/>
        </w:rPr>
        <w:t>3.服务内容：</w:t>
      </w:r>
      <w:bookmarkStart w:id="0" w:name="_Hlk71881019"/>
      <w:bookmarkEnd w:id="0"/>
      <w:r>
        <w:rPr>
          <w:rFonts w:hint="eastAsia" w:ascii="仿宋_GB2312" w:hAnsi="仿宋_GB2312" w:eastAsia="仿宋_GB2312" w:cs="仿宋_GB2312"/>
          <w:b w:val="0"/>
          <w:bCs w:val="0"/>
          <w:kern w:val="0"/>
          <w:sz w:val="32"/>
          <w:szCs w:val="32"/>
          <w:lang w:val="en-US" w:eastAsia="zh-CN"/>
        </w:rPr>
        <w:t>依据《中华人民共和国固体废物污染环境防治法》第二章第19条：收集、贮存、运输、利用、处置固体废物的单位和其他生产经营者，应当加强对相关设施、设备和场所的管理和维护，保证其正常运行和使用。华冉烟墩南风电一场、华冉景峡南风电一场现场无油品库房及危废品库房，需要建设油品库及危废品库满足日常运维工作要求。</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sz w:val="32"/>
          <w:szCs w:val="32"/>
          <w:lang w:val="en-US" w:eastAsia="zh-CN"/>
        </w:rPr>
        <w:t>华冉烟墩南风电一场、华冉景峡南风电一场所在地（华冉烟墩南风电一场地址 :新疆自治区哈密市伊州区骆驼圈子东南偏东60kM处S22驼梧高速附近；华冉景峡南风电一场地址：新疆自治区哈密市伊州区骆驼圈子东南偏南92kM处）</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5.采购预算：</w:t>
      </w:r>
      <w:r>
        <w:rPr>
          <w:rFonts w:hint="eastAsia" w:ascii="仿宋_GB2312" w:hAnsi="仿宋_GB2312" w:eastAsia="仿宋_GB2312" w:cs="仿宋_GB2312"/>
          <w:sz w:val="32"/>
          <w:szCs w:val="32"/>
          <w:lang w:val="en-US" w:eastAsia="zh-CN"/>
        </w:rPr>
        <w:t>49万元</w:t>
      </w:r>
    </w:p>
    <w:p>
      <w:p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.各项目</w:t>
      </w:r>
      <w:r>
        <w:rPr>
          <w:rFonts w:hint="eastAsia" w:ascii="仿宋_GB2312" w:hAnsi="仿宋_GB2312" w:eastAsia="仿宋_GB2312" w:cs="仿宋_GB2312"/>
          <w:kern w:val="0"/>
          <w:sz w:val="32"/>
          <w:szCs w:val="32"/>
          <w:lang w:val="en-US" w:eastAsia="zh-CN"/>
        </w:rPr>
        <w:t>计划安装油品库、危废品库</w:t>
      </w:r>
      <w:r>
        <w:rPr>
          <w:rFonts w:hint="eastAsia" w:ascii="仿宋_GB2312" w:hAnsi="仿宋_GB2312" w:eastAsia="仿宋_GB2312" w:cs="仿宋_GB2312"/>
          <w:kern w:val="0"/>
          <w:sz w:val="32"/>
          <w:szCs w:val="32"/>
        </w:rPr>
        <w:t>信息如下：</w:t>
      </w:r>
    </w:p>
    <w:tbl>
      <w:tblPr>
        <w:tblStyle w:val="14"/>
        <w:tblW w:w="5065" w:type="pct"/>
        <w:jc w:val="center"/>
        <w:tblLayout w:type="fixed"/>
        <w:tblCellMar>
          <w:top w:w="0" w:type="dxa"/>
          <w:left w:w="108" w:type="dxa"/>
          <w:bottom w:w="0" w:type="dxa"/>
          <w:right w:w="108" w:type="dxa"/>
        </w:tblCellMar>
      </w:tblPr>
      <w:tblGrid>
        <w:gridCol w:w="904"/>
        <w:gridCol w:w="1839"/>
        <w:gridCol w:w="3180"/>
        <w:gridCol w:w="2295"/>
        <w:gridCol w:w="960"/>
      </w:tblGrid>
      <w:tr>
        <w:tblPrEx>
          <w:tblCellMar>
            <w:top w:w="0" w:type="dxa"/>
            <w:left w:w="108" w:type="dxa"/>
            <w:bottom w:w="0" w:type="dxa"/>
            <w:right w:w="108" w:type="dxa"/>
          </w:tblCellMar>
        </w:tblPrEx>
        <w:trPr>
          <w:trHeight w:val="285" w:hRule="atLeast"/>
          <w:jc w:val="center"/>
        </w:trPr>
        <w:tc>
          <w:tcPr>
            <w:tcW w:w="492" w:type="pct"/>
            <w:tcBorders>
              <w:top w:val="single" w:color="auto" w:sz="4" w:space="0"/>
              <w:left w:val="single" w:color="auto" w:sz="4" w:space="0"/>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序号</w:t>
            </w:r>
          </w:p>
        </w:tc>
        <w:tc>
          <w:tcPr>
            <w:tcW w:w="1001" w:type="pct"/>
            <w:tcBorders>
              <w:top w:val="single" w:color="auto" w:sz="4" w:space="0"/>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项目简称</w:t>
            </w:r>
          </w:p>
        </w:tc>
        <w:tc>
          <w:tcPr>
            <w:tcW w:w="1732" w:type="pct"/>
            <w:tcBorders>
              <w:top w:val="single" w:color="auto" w:sz="4" w:space="0"/>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项目公司</w:t>
            </w:r>
          </w:p>
        </w:tc>
        <w:tc>
          <w:tcPr>
            <w:tcW w:w="1250" w:type="pct"/>
            <w:tcBorders>
              <w:top w:val="single" w:color="auto" w:sz="4" w:space="0"/>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规格</w:t>
            </w:r>
          </w:p>
        </w:tc>
        <w:tc>
          <w:tcPr>
            <w:tcW w:w="522" w:type="pct"/>
            <w:tcBorders>
              <w:top w:val="single" w:color="auto" w:sz="4" w:space="0"/>
              <w:left w:val="nil"/>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数量</w:t>
            </w:r>
          </w:p>
        </w:tc>
      </w:tr>
      <w:tr>
        <w:tblPrEx>
          <w:tblCellMar>
            <w:top w:w="0" w:type="dxa"/>
            <w:left w:w="108" w:type="dxa"/>
            <w:bottom w:w="0" w:type="dxa"/>
            <w:right w:w="108" w:type="dxa"/>
          </w:tblCellMar>
        </w:tblPrEx>
        <w:trPr>
          <w:trHeight w:val="855" w:hRule="atLeast"/>
          <w:jc w:val="center"/>
        </w:trPr>
        <w:tc>
          <w:tcPr>
            <w:tcW w:w="492" w:type="pct"/>
            <w:tcBorders>
              <w:top w:val="nil"/>
              <w:left w:val="single" w:color="auto" w:sz="4" w:space="0"/>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w:t>
            </w:r>
          </w:p>
        </w:tc>
        <w:tc>
          <w:tcPr>
            <w:tcW w:w="1001"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烟墩油品库建设安装</w:t>
            </w:r>
          </w:p>
        </w:tc>
        <w:tc>
          <w:tcPr>
            <w:tcW w:w="1732"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新疆华冉东方新能源有限公司</w:t>
            </w:r>
          </w:p>
        </w:tc>
        <w:tc>
          <w:tcPr>
            <w:tcW w:w="1250"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10.0m×3.0m×2.5m油品库</w:t>
            </w:r>
          </w:p>
        </w:tc>
        <w:tc>
          <w:tcPr>
            <w:tcW w:w="522" w:type="pct"/>
            <w:tcBorders>
              <w:top w:val="nil"/>
              <w:left w:val="nil"/>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w:t>
            </w:r>
          </w:p>
        </w:tc>
      </w:tr>
      <w:tr>
        <w:tblPrEx>
          <w:tblCellMar>
            <w:top w:w="0" w:type="dxa"/>
            <w:left w:w="108" w:type="dxa"/>
            <w:bottom w:w="0" w:type="dxa"/>
            <w:right w:w="108" w:type="dxa"/>
          </w:tblCellMar>
        </w:tblPrEx>
        <w:trPr>
          <w:trHeight w:val="855" w:hRule="atLeast"/>
          <w:jc w:val="center"/>
        </w:trPr>
        <w:tc>
          <w:tcPr>
            <w:tcW w:w="492" w:type="pct"/>
            <w:tcBorders>
              <w:top w:val="nil"/>
              <w:left w:val="single" w:color="auto" w:sz="4" w:space="0"/>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w:t>
            </w:r>
          </w:p>
        </w:tc>
        <w:tc>
          <w:tcPr>
            <w:tcW w:w="1001"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烟墩危废品库建设安装</w:t>
            </w:r>
          </w:p>
        </w:tc>
        <w:tc>
          <w:tcPr>
            <w:tcW w:w="1732"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新疆华冉东方新能源有限公司</w:t>
            </w:r>
          </w:p>
        </w:tc>
        <w:tc>
          <w:tcPr>
            <w:tcW w:w="1250"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9.0m×3.0m×2.5m危废品库</w:t>
            </w:r>
          </w:p>
        </w:tc>
        <w:tc>
          <w:tcPr>
            <w:tcW w:w="522" w:type="pct"/>
            <w:tcBorders>
              <w:top w:val="nil"/>
              <w:left w:val="nil"/>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w:t>
            </w:r>
          </w:p>
        </w:tc>
      </w:tr>
      <w:tr>
        <w:tblPrEx>
          <w:tblCellMar>
            <w:top w:w="0" w:type="dxa"/>
            <w:left w:w="108" w:type="dxa"/>
            <w:bottom w:w="0" w:type="dxa"/>
            <w:right w:w="108" w:type="dxa"/>
          </w:tblCellMar>
        </w:tblPrEx>
        <w:trPr>
          <w:trHeight w:val="855" w:hRule="atLeast"/>
          <w:jc w:val="center"/>
        </w:trPr>
        <w:tc>
          <w:tcPr>
            <w:tcW w:w="492" w:type="pct"/>
            <w:tcBorders>
              <w:top w:val="nil"/>
              <w:left w:val="single" w:color="auto" w:sz="4" w:space="0"/>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3</w:t>
            </w:r>
          </w:p>
        </w:tc>
        <w:tc>
          <w:tcPr>
            <w:tcW w:w="1001" w:type="pct"/>
            <w:tcBorders>
              <w:top w:val="nil"/>
              <w:left w:val="nil"/>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景峡油品库建设安装</w:t>
            </w:r>
          </w:p>
        </w:tc>
        <w:tc>
          <w:tcPr>
            <w:tcW w:w="1732"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哈密华冉东方景峡风力发电有限公司</w:t>
            </w:r>
          </w:p>
        </w:tc>
        <w:tc>
          <w:tcPr>
            <w:tcW w:w="1250"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4.0m×3.0m×2.5m油品库</w:t>
            </w:r>
          </w:p>
        </w:tc>
        <w:tc>
          <w:tcPr>
            <w:tcW w:w="522" w:type="pct"/>
            <w:tcBorders>
              <w:top w:val="nil"/>
              <w:left w:val="nil"/>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w:t>
            </w:r>
          </w:p>
        </w:tc>
      </w:tr>
      <w:tr>
        <w:tblPrEx>
          <w:tblCellMar>
            <w:top w:w="0" w:type="dxa"/>
            <w:left w:w="108" w:type="dxa"/>
            <w:bottom w:w="0" w:type="dxa"/>
            <w:right w:w="108" w:type="dxa"/>
          </w:tblCellMar>
        </w:tblPrEx>
        <w:trPr>
          <w:trHeight w:val="855" w:hRule="atLeast"/>
          <w:jc w:val="center"/>
        </w:trPr>
        <w:tc>
          <w:tcPr>
            <w:tcW w:w="492" w:type="pct"/>
            <w:tcBorders>
              <w:top w:val="nil"/>
              <w:left w:val="single" w:color="auto" w:sz="4" w:space="0"/>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4</w:t>
            </w:r>
          </w:p>
        </w:tc>
        <w:tc>
          <w:tcPr>
            <w:tcW w:w="1001" w:type="pct"/>
            <w:tcBorders>
              <w:top w:val="nil"/>
              <w:left w:val="nil"/>
              <w:bottom w:val="single" w:color="auto" w:sz="4" w:space="0"/>
              <w:right w:val="single" w:color="auto" w:sz="4" w:space="0"/>
            </w:tcBorders>
            <w:noWrap w:val="0"/>
            <w:vAlign w:val="center"/>
          </w:tcPr>
          <w:p>
            <w:pPr>
              <w:ind w:firstLine="0"/>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景峡危废品库建设安装</w:t>
            </w:r>
          </w:p>
        </w:tc>
        <w:tc>
          <w:tcPr>
            <w:tcW w:w="1732"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哈密华冉东方景峡风力发电有限公司</w:t>
            </w:r>
          </w:p>
        </w:tc>
        <w:tc>
          <w:tcPr>
            <w:tcW w:w="1250" w:type="pct"/>
            <w:tcBorders>
              <w:top w:val="nil"/>
              <w:left w:val="nil"/>
              <w:bottom w:val="single" w:color="auto" w:sz="4" w:space="0"/>
              <w:right w:val="single" w:color="auto" w:sz="4" w:space="0"/>
            </w:tcBorders>
            <w:noWrap w:val="0"/>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4.0m×3.0m×2.5m危废品库</w:t>
            </w:r>
          </w:p>
        </w:tc>
        <w:tc>
          <w:tcPr>
            <w:tcW w:w="522" w:type="pct"/>
            <w:tcBorders>
              <w:top w:val="nil"/>
              <w:left w:val="nil"/>
              <w:bottom w:val="single" w:color="auto" w:sz="4" w:space="0"/>
              <w:right w:val="single" w:color="auto" w:sz="4" w:space="0"/>
            </w:tcBorders>
            <w:noWrap/>
            <w:vAlign w:val="center"/>
          </w:tcPr>
          <w:p>
            <w:pPr>
              <w:ind w:firstLine="0"/>
              <w:jc w:val="center"/>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w:t>
            </w:r>
          </w:p>
        </w:tc>
      </w:tr>
    </w:tbl>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2.具有近三年（2020年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月1日至今）至少1份国内风电场站油品库、危废品库销售及安装服务业绩；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w:t>
      </w:r>
      <w:r>
        <w:rPr>
          <w:rFonts w:hint="eastAsia" w:ascii="仿宋_GB2312" w:hAnsi="仿宋_GB2312" w:eastAsia="仿宋_GB2312" w:cs="仿宋_GB2312"/>
          <w:kern w:val="0"/>
          <w:sz w:val="32"/>
          <w:szCs w:val="32"/>
          <w:lang w:val="en-US" w:eastAsia="zh-CN"/>
        </w:rPr>
        <w:t>自</w:t>
      </w:r>
      <w:r>
        <w:rPr>
          <w:rFonts w:hint="eastAsia" w:ascii="仿宋_GB2312" w:hAnsi="仿宋_GB2312" w:eastAsia="仿宋_GB2312" w:cs="仿宋_GB2312"/>
          <w:kern w:val="0"/>
          <w:sz w:val="32"/>
          <w:szCs w:val="32"/>
        </w:rPr>
        <w:t>合同签订后</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0天内完成</w:t>
      </w:r>
      <w:r>
        <w:rPr>
          <w:rFonts w:hint="eastAsia" w:ascii="仿宋_GB2312" w:hAnsi="仿宋_GB2312" w:eastAsia="仿宋_GB2312" w:cs="仿宋_GB2312"/>
          <w:kern w:val="0"/>
          <w:sz w:val="32"/>
          <w:szCs w:val="32"/>
          <w:lang w:val="en-US" w:eastAsia="zh-CN"/>
        </w:rPr>
        <w:t>本项目全部工作内容，通过采购单位验收。</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p>
    <w:p>
      <w:pPr>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CN"/>
        </w:rPr>
        <w:t>（一）危废品库设计采用集装箱样式采购，技术要求如下：</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（1）危险废物集中贮存设施的选址</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1)地质结构稳定，地震烈度不超过7度的区域内；</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2)设施底部必须高于地下水最高水位；</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3)危险废物集中贮存设施的位置应保证其与周围人群的距离；</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4)应避免建在易遭受严重自然灾害如洪水、滑坡，泥石流等影响的地区；</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5)应在易燃、易爆等危险品仓库、高压输电线路防护区域以外。</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（2）危险废物贮存设施(仓库式)的设计原则</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1)地面与裙脚要用坚固、防渗的材料建造，建筑材料必须与危险废物相容；</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2)必须有泄漏液体收集装置、气体导出口及气体净化装置；</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3)设施内要有安全照明设施和观察窗口；</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4)用以存放装载液体、半固体危险废物容器的地方，必须有耐腐蚀的硬化地面，且表面无裂隙；</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5)不相容的危险废物必须分开存放，并设有隔离间隔断。其中含油废弃物以及抹布等其余废弃物储存于危废品库一，变电站的废弃蓄电池储存于危废品库二（废电池储存库）。</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（3）危废品库的建设</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1)危废品库应满足“四防”（防风、防雨、防晒、防渗漏）</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2)危废品库地面应有一定的承载能力；</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3)衬里放在一个基础或底座上；</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4)衬里要能够覆盖危险废物或其溶出物可能涉及到的范围；</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5)衬里材料与堆放危险废物相容；</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6)在衬里上设计、建造浸出液收集清除系统；</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7)应设计建造径流疏导系统，保证能防止25年一遇的暴雨不会流到危险废物堆里；</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8)危废品库应配备通讯设备、防爆照明设施和观察窗口、安全防护服装及工具，并设有应急防护设施（结合贮存的危废性质设置洗眼器、灭火沙、灭火器、收集桶、吸收棉、沙土、防爆泵等）；</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9)存放液体性危险废物的贮存场所必须设计导流槽和收集箱；</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10)危废品库应配备照明设施、观察窗口和通风口。若暂存废物含挥发性有机物质，则要求安装防爆照明设施和防爆风扇，并设置静电释放桩。</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（4）危废品库相关警示标识</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危废品库门口需张贴标准规范的危险废物标识和危废信息板、贴含责任人及联系方式，危废品库内张贴企业《危险废物管理制度》、《危险废物贮存场所管理规定》、《危险废物仓库管理制度》、《危险废物污染防治责任制度》《危险废物应急预案》。</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（5）危废品库规程尺寸</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1)尺寸：9.0m×3.0m×2.5m（烟墩南）、4.0m×3.0m×2.5m（景峡南），各分两间；</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2)分别为：危废品库一：5.0m×2.5m×2.5m（烟墩南）、2.0m×2.5m×2.5m（景峡南）用于废机油等液体废物；</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3)危废品品库二：4.0m×2.5m×2.5m（烟墩南）、2.0m×2.5m×2.5m（景峡南）用于储存废弃电池等固体废物；</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4)材质：采用钢制复合板、成型钢材裁剪、焊接而成，须密封、防渗、防漏；</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5)底板以及墙体0.5m以下采用环氧漆防腐，其余采用防腐漆+面漆进行防腐；</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6)设置防火门两樘，每间危废品库一樘；每间危废品库设置有防火窗一扇，用于自然排风、散热、采光；</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7)危废品库底部设置有1.0m×0.6×0.2m的危废渗漏液收集槽一个，用于收集储蓄池、废油等危废物的渗漏液。</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（6）危废品库基础</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1）危废品库的地基承载力每平方米大于0.5吨；</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2）地面及内墙面0.7m以下需做防渗漏处理并涂刷地坪漆（桓宇环氧地坪漆），达到危险废物贮存污染控制标准。</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（7）产品的结构及配置</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1）产品结构：主框架结构，拼装焊接墙板，倾斜楞板屋面，阻燃防腐，抗风抗震；</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室内配置防爆灯各1个、防爆应急照明灯各1个、防爆排风扇各1个、防火门各1套及窗户（1.5平米），防爆电源插座各2套、200L油桶2个、气体泄露检测仪1个、耐腐蚀收集框2个，安全出口指示牌个1个、危废品库管理制度及标识标牌各1套；</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3）危废品库二需增加1组重型货架，支架尺寸长×宽×高（4m×0.6m×1.8m烟墩南）（2.0m×0.6m×1.8m景峡南），承重不少于300Kg，并配置集油槽；</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4）危废库内部需配置电子秤一台，具体规格型号执行地方环境局要求。</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（二）油品库设计采用集装箱样式采购，技术要求如下：</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（1）油品库设计可以参照危废品库基本技术要求执行；</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（2）油品库内需要防爆排风扇2个、防爆灯各2个、防爆应急照明灯各2个、防火门2套及窗户（1.5平米）2套，防爆电源插座2套；</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（3）油品库门槛不应过高，应利用搬用油桶方便，库房门尺寸应合适（宽2.2m*高2.0m）；</w:t>
      </w:r>
    </w:p>
    <w:p>
      <w:pPr>
        <w:spacing w:line="560" w:lineRule="exact"/>
        <w:ind w:firstLine="645"/>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（4）油品库房尺寸：10.0m×3.0m×2.5m（烟墩南）、4.0m×3.0m×2.5m（景峡南），整体不隔断；</w:t>
      </w:r>
    </w:p>
    <w:p>
      <w:pPr>
        <w:spacing w:line="560" w:lineRule="exact"/>
        <w:ind w:firstLine="645"/>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rPr>
        <w:t>（5）油品库内不涉及集油槽</w:t>
      </w:r>
      <w:r>
        <w:rPr>
          <w:rFonts w:hint="eastAsia" w:ascii="仿宋_GB2312" w:hAnsi="仿宋_GB2312" w:eastAsia="仿宋_GB2312" w:cs="仿宋_GB2312"/>
          <w:b w:val="0"/>
          <w:bCs w:val="0"/>
          <w:kern w:val="0"/>
          <w:sz w:val="32"/>
          <w:szCs w:val="32"/>
          <w:lang w:val="en-US" w:eastAsia="zh-CN" w:bidi="ar-SA"/>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（1）合同签订完成后，报价单位开具税率为13%合同总金额30%的增值税专用发票，采购单位收到发票后</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0日内无息支付对应款项。</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（2）报价单位现场安装、调试结束，经采购单位验收合格后，报价单位开具税率为13%的合同总金额6</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%的增值税专用发票，采购单位收到发票后</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0日内无息支付对应款项。</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（3）质保期内无任何质量和调试问题，经采购单位确认后，报价单位开具税率为13%的合同总金额</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%的增值税专用发票，采购单位收到发票后</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0日内无息支付对应款项。</w:t>
      </w:r>
    </w:p>
    <w:p>
      <w:pPr>
        <w:pStyle w:val="5"/>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4.质保期</w:t>
      </w:r>
    </w:p>
    <w:p>
      <w:pPr>
        <w:pStyle w:val="5"/>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（1）报价单位提供货物质量保证期不低于</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年，质量保证期自验收合格之日起算；</w:t>
      </w:r>
    </w:p>
    <w:p>
      <w:pPr>
        <w:pStyle w:val="5"/>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（2）在质量保证期内货物出现质量问题，报价单位应在24小时内响应，并在5个工作日内进行免费修理或更换以消除质量问题。</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w:t>
      </w:r>
      <w:r>
        <w:rPr>
          <w:rFonts w:hint="eastAsia" w:ascii="仿宋_GB2312" w:hAnsi="仿宋_GB2312" w:eastAsia="仿宋_GB2312" w:cs="仿宋_GB2312"/>
          <w:sz w:val="32"/>
          <w:szCs w:val="32"/>
        </w:rPr>
        <w:t>采购、运输、安装、调试技术服务费用</w:t>
      </w:r>
      <w:r>
        <w:rPr>
          <w:rFonts w:hint="eastAsia" w:ascii="仿宋_GB2312" w:hAnsi="仿宋_GB2312" w:eastAsia="仿宋_GB2312" w:cs="仿宋_GB2312"/>
          <w:kern w:val="0"/>
          <w:sz w:val="32"/>
          <w:szCs w:val="32"/>
        </w:rPr>
        <w:t>等。</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）合同业绩证明（包含合同首页、签字盖章页及能体现具有近三年（2020年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月1日至今）至少1份国内风电场站油品库、危废品库销售及安装服务工作内容的关键页）</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以上材料需装订成册，其中第（1）、（2）条需按照附件格式要求打印并加盖公章，第（3）、（4）</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条应提供原件或复印件，如提供复印件则需加盖公章。</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w:t>
      </w:r>
      <w:bookmarkStart w:id="1" w:name="_GoBack"/>
      <w:bookmarkEnd w:id="1"/>
      <w:r>
        <w:rPr>
          <w:rFonts w:hint="eastAsia" w:ascii="仿宋_GB2312" w:hAnsi="仿宋_GB2312" w:eastAsia="仿宋_GB2312" w:cs="仿宋_GB2312"/>
          <w:kern w:val="0"/>
          <w:sz w:val="32"/>
          <w:szCs w:val="32"/>
        </w:rPr>
        <w:t>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1.报价截止时间：2023年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赵彦杰</w:t>
      </w:r>
      <w:r>
        <w:rPr>
          <w:rFonts w:hint="eastAsia" w:ascii="仿宋_GB2312" w:hAnsi="仿宋_GB2312" w:eastAsia="仿宋_GB2312" w:cs="仿宋_GB2312"/>
          <w:kern w:val="0"/>
          <w:sz w:val="32"/>
          <w:szCs w:val="32"/>
        </w:rPr>
        <w:t xml:space="preserve">      联系电话：1</w:t>
      </w:r>
      <w:r>
        <w:rPr>
          <w:rFonts w:hint="eastAsia" w:ascii="仿宋_GB2312" w:hAnsi="仿宋_GB2312" w:eastAsia="仿宋_GB2312" w:cs="仿宋_GB2312"/>
          <w:kern w:val="0"/>
          <w:sz w:val="32"/>
          <w:szCs w:val="32"/>
          <w:lang w:val="en-US" w:eastAsia="zh-CN"/>
        </w:rPr>
        <w:t>7309918300</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5"/>
      </w:pPr>
    </w:p>
    <w:p>
      <w:pPr>
        <w:widowControl/>
        <w:spacing w:line="560" w:lineRule="exact"/>
        <w:ind w:left="1539" w:leftChars="733"/>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新疆华冉东方新能源有限</w:t>
      </w:r>
      <w:r>
        <w:rPr>
          <w:rFonts w:hint="eastAsia" w:ascii="仿宋_GB2312" w:hAnsi="仿宋_GB2312" w:eastAsia="仿宋_GB2312" w:cs="仿宋_GB2312"/>
          <w:kern w:val="0"/>
          <w:sz w:val="32"/>
          <w:szCs w:val="32"/>
        </w:rPr>
        <w:t>公司</w:t>
      </w:r>
    </w:p>
    <w:p>
      <w:pPr>
        <w:widowControl/>
        <w:spacing w:line="560" w:lineRule="exact"/>
        <w:ind w:left="1539" w:leftChars="733"/>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哈密华冉东方景峡风力发电有限</w:t>
      </w:r>
      <w:r>
        <w:rPr>
          <w:rFonts w:hint="eastAsia" w:ascii="仿宋_GB2312" w:hAnsi="仿宋_GB2312" w:eastAsia="仿宋_GB2312" w:cs="仿宋_GB2312"/>
          <w:kern w:val="0"/>
          <w:sz w:val="32"/>
          <w:szCs w:val="32"/>
        </w:rPr>
        <w:t>公司</w:t>
      </w:r>
    </w:p>
    <w:p>
      <w:pPr>
        <w:widowControl/>
        <w:spacing w:line="560" w:lineRule="exact"/>
        <w:ind w:firstLine="6080" w:firstLineChars="1900"/>
        <w:jc w:val="left"/>
        <w:rPr>
          <w:rFonts w:ascii="仿宋" w:hAnsi="仿宋" w:eastAsia="仿宋"/>
          <w:sz w:val="32"/>
          <w:szCs w:val="32"/>
        </w:rPr>
      </w:pPr>
      <w:r>
        <w:rPr>
          <w:rFonts w:hint="eastAsia" w:ascii="仿宋_GB2312" w:hAnsi="仿宋_GB2312" w:eastAsia="仿宋_GB2312" w:cs="仿宋_GB2312"/>
          <w:kern w:val="0"/>
          <w:sz w:val="32"/>
          <w:szCs w:val="32"/>
        </w:rPr>
        <w:t>2023年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致：</w:t>
      </w:r>
      <w:r>
        <w:rPr>
          <w:rFonts w:hint="eastAsia" w:ascii="仿宋" w:hAnsi="仿宋" w:eastAsia="仿宋"/>
          <w:sz w:val="32"/>
          <w:szCs w:val="32"/>
          <w:lang w:val="en-US" w:eastAsia="zh-CN"/>
        </w:rPr>
        <w:t>新疆华冉东方新能源有限公司、哈密华冉东方景峡风力发电有限公司</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根据已收到的贵方</w:t>
      </w:r>
      <w:r>
        <w:rPr>
          <w:rFonts w:hint="eastAsia" w:ascii="仿宋_GB2312" w:hAnsi="仿宋_GB2312" w:eastAsia="仿宋_GB2312" w:cs="仿宋_GB2312"/>
          <w:i w:val="0"/>
          <w:iCs w:val="0"/>
          <w:sz w:val="32"/>
          <w:szCs w:val="32"/>
          <w:u w:val="single"/>
          <w:lang w:val="en-US" w:eastAsia="zh-CN"/>
        </w:rPr>
        <w:t>华冉烟墩、景峡风电场油品库、危废品库采购项目询价采购公告</w:t>
      </w:r>
      <w:r>
        <w:rPr>
          <w:rFonts w:hint="eastAsia" w:ascii="仿宋" w:hAnsi="仿宋" w:eastAsia="仿宋"/>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sz w:val="32"/>
          <w:szCs w:val="32"/>
        </w:rPr>
        <w:t>联系方式：</w:t>
      </w:r>
    </w:p>
    <w:p>
      <w:pPr>
        <w:snapToGrid w:val="0"/>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napToGrid w:val="0"/>
        <w:spacing w:line="560" w:lineRule="exact"/>
        <w:jc w:val="center"/>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华冉烟墩、景峡风电场油品库、危废品库</w:t>
      </w:r>
    </w:p>
    <w:p>
      <w:pPr>
        <w:snapToGrid w:val="0"/>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u w:val="single"/>
          <w:lang w:val="en-US" w:eastAsia="zh-CN"/>
        </w:rPr>
        <w:t>采购项目</w:t>
      </w:r>
      <w:r>
        <w:rPr>
          <w:rFonts w:hint="eastAsia" w:ascii="仿宋" w:hAnsi="仿宋" w:eastAsia="仿宋" w:cs="仿宋"/>
          <w:b/>
          <w:bCs/>
          <w:sz w:val="32"/>
          <w:szCs w:val="32"/>
          <w:u w:val="single"/>
        </w:rPr>
        <w:t>报价单</w:t>
      </w:r>
    </w:p>
    <w:tbl>
      <w:tblPr>
        <w:tblStyle w:val="14"/>
        <w:tblW w:w="55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3"/>
        <w:gridCol w:w="3484"/>
        <w:gridCol w:w="2064"/>
        <w:gridCol w:w="2244"/>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auto"/>
              <w:rPr>
                <w:rFonts w:hint="eastAsia" w:ascii="仿宋" w:hAnsi="仿宋" w:eastAsia="仿宋" w:cs="黑体"/>
                <w:b w:val="0"/>
                <w:bCs w:val="0"/>
                <w:i w:val="0"/>
                <w:iCs w:val="0"/>
                <w:sz w:val="28"/>
                <w:szCs w:val="28"/>
                <w:u w:val="none"/>
              </w:rPr>
            </w:pPr>
            <w:r>
              <w:rPr>
                <w:rFonts w:hint="eastAsia" w:ascii="仿宋" w:hAnsi="仿宋" w:eastAsia="仿宋" w:cs="黑体"/>
                <w:b w:val="0"/>
                <w:bCs w:val="0"/>
                <w:i w:val="0"/>
                <w:iCs w:val="0"/>
                <w:kern w:val="2"/>
                <w:sz w:val="28"/>
                <w:szCs w:val="28"/>
                <w:u w:val="none"/>
                <w:lang w:val="en-US" w:eastAsia="zh-CN" w:bidi="ar"/>
              </w:rPr>
              <w:t>序号</w:t>
            </w:r>
          </w:p>
        </w:tc>
        <w:tc>
          <w:tcPr>
            <w:tcW w:w="17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60" w:lineRule="exact"/>
              <w:jc w:val="center"/>
              <w:textAlignment w:val="auto"/>
              <w:rPr>
                <w:rFonts w:hint="eastAsia" w:ascii="仿宋" w:hAnsi="仿宋" w:eastAsia="仿宋" w:cs="黑体"/>
                <w:b w:val="0"/>
                <w:bCs w:val="0"/>
                <w:i w:val="0"/>
                <w:iCs w:val="0"/>
                <w:sz w:val="28"/>
                <w:szCs w:val="28"/>
                <w:u w:val="none"/>
              </w:rPr>
            </w:pPr>
            <w:r>
              <w:rPr>
                <w:rFonts w:hint="eastAsia" w:ascii="仿宋" w:hAnsi="仿宋" w:eastAsia="仿宋" w:cs="黑体"/>
                <w:b w:val="0"/>
                <w:bCs w:val="0"/>
                <w:i w:val="0"/>
                <w:iCs w:val="0"/>
                <w:kern w:val="2"/>
                <w:sz w:val="28"/>
                <w:szCs w:val="28"/>
                <w:u w:val="none"/>
                <w:lang w:val="en-US" w:eastAsia="zh-CN" w:bidi="ar"/>
              </w:rPr>
              <w:t>项目名称</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auto"/>
              <w:rPr>
                <w:rFonts w:hint="eastAsia" w:ascii="仿宋" w:hAnsi="仿宋" w:eastAsia="仿宋" w:cs="黑体"/>
                <w:b w:val="0"/>
                <w:bCs w:val="0"/>
                <w:i w:val="0"/>
                <w:iCs w:val="0"/>
                <w:kern w:val="2"/>
                <w:sz w:val="28"/>
                <w:szCs w:val="28"/>
                <w:u w:val="none"/>
                <w:lang w:val="en-US" w:eastAsia="zh-CN" w:bidi="ar"/>
              </w:rPr>
            </w:pPr>
            <w:r>
              <w:rPr>
                <w:rFonts w:hint="eastAsia" w:ascii="仿宋" w:hAnsi="仿宋" w:eastAsia="仿宋" w:cs="黑体"/>
                <w:b w:val="0"/>
                <w:bCs w:val="0"/>
                <w:i w:val="0"/>
                <w:iCs w:val="0"/>
                <w:kern w:val="2"/>
                <w:sz w:val="28"/>
                <w:szCs w:val="28"/>
                <w:u w:val="none"/>
                <w:lang w:val="en-US" w:eastAsia="zh-CN" w:bidi="ar"/>
              </w:rPr>
              <w:t>报价（万元）</w:t>
            </w:r>
          </w:p>
        </w:tc>
        <w:tc>
          <w:tcPr>
            <w:tcW w:w="11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auto"/>
              <w:rPr>
                <w:rFonts w:hint="eastAsia" w:ascii="仿宋" w:hAnsi="仿宋" w:eastAsia="仿宋" w:cs="黑体"/>
                <w:b w:val="0"/>
                <w:bCs w:val="0"/>
                <w:i w:val="0"/>
                <w:iCs w:val="0"/>
                <w:kern w:val="2"/>
                <w:sz w:val="28"/>
                <w:szCs w:val="28"/>
                <w:u w:val="none"/>
                <w:lang w:val="en-US" w:eastAsia="zh-CN" w:bidi="ar"/>
              </w:rPr>
            </w:pPr>
            <w:r>
              <w:rPr>
                <w:rFonts w:hint="eastAsia" w:ascii="仿宋" w:hAnsi="仿宋" w:eastAsia="仿宋" w:cs="黑体"/>
                <w:b w:val="0"/>
                <w:bCs w:val="0"/>
                <w:i w:val="0"/>
                <w:iCs w:val="0"/>
                <w:kern w:val="2"/>
                <w:sz w:val="28"/>
                <w:szCs w:val="28"/>
                <w:u w:val="none"/>
                <w:lang w:val="en-US" w:eastAsia="zh-CN" w:bidi="ar"/>
              </w:rPr>
              <w:t>服务说明</w:t>
            </w:r>
          </w:p>
        </w:tc>
        <w:tc>
          <w:tcPr>
            <w:tcW w:w="6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auto"/>
              <w:rPr>
                <w:rFonts w:hint="eastAsia" w:ascii="仿宋" w:hAnsi="仿宋" w:eastAsia="仿宋" w:cs="黑体"/>
                <w:b w:val="0"/>
                <w:bCs w:val="0"/>
                <w:i w:val="0"/>
                <w:iCs w:val="0"/>
                <w:kern w:val="2"/>
                <w:sz w:val="28"/>
                <w:szCs w:val="28"/>
                <w:u w:val="none"/>
                <w:lang w:val="en-US" w:eastAsia="zh-CN" w:bidi="ar"/>
              </w:rPr>
            </w:pPr>
            <w:r>
              <w:rPr>
                <w:rFonts w:hint="eastAsia" w:ascii="仿宋" w:hAnsi="仿宋" w:eastAsia="仿宋" w:cs="黑体"/>
                <w:b w:val="0"/>
                <w:bCs w:val="0"/>
                <w:i w:val="0"/>
                <w:iCs w:val="0"/>
                <w:kern w:val="2"/>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21"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1</w:t>
            </w:r>
          </w:p>
        </w:tc>
        <w:tc>
          <w:tcPr>
            <w:tcW w:w="1743" w:type="pc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华冉烟墩南风电一场油品库建设项目</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c>
          <w:tcPr>
            <w:tcW w:w="112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油品库建设</w:t>
            </w:r>
          </w:p>
        </w:tc>
        <w:tc>
          <w:tcPr>
            <w:tcW w:w="679" w:type="pct"/>
            <w:vMerge w:val="restart"/>
            <w:tcBorders>
              <w:top w:val="single" w:color="000000" w:sz="4" w:space="0"/>
              <w:left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21"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2</w:t>
            </w:r>
          </w:p>
        </w:tc>
        <w:tc>
          <w:tcPr>
            <w:tcW w:w="1743" w:type="pc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华冉烟墩南风电一场危废品库建设项目</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c>
          <w:tcPr>
            <w:tcW w:w="112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危废品库建设</w:t>
            </w:r>
          </w:p>
        </w:tc>
        <w:tc>
          <w:tcPr>
            <w:tcW w:w="679" w:type="pct"/>
            <w:vMerge w:val="continue"/>
            <w:tcBorders>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421"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3</w:t>
            </w:r>
          </w:p>
        </w:tc>
        <w:tc>
          <w:tcPr>
            <w:tcW w:w="1743"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哈密华冉景峡南风电一场油品库建设项目</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c>
          <w:tcPr>
            <w:tcW w:w="112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油品库建设</w:t>
            </w:r>
          </w:p>
        </w:tc>
        <w:tc>
          <w:tcPr>
            <w:tcW w:w="679" w:type="pct"/>
            <w:vMerge w:val="restart"/>
            <w:tcBorders>
              <w:top w:val="single" w:color="000000" w:sz="4" w:space="0"/>
              <w:left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21"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4</w:t>
            </w:r>
          </w:p>
        </w:tc>
        <w:tc>
          <w:tcPr>
            <w:tcW w:w="1743"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哈密华冉景峡南风电一场危废品库建设项目</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c>
          <w:tcPr>
            <w:tcW w:w="112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危废品库建设</w:t>
            </w:r>
          </w:p>
        </w:tc>
        <w:tc>
          <w:tcPr>
            <w:tcW w:w="679" w:type="pct"/>
            <w:vMerge w:val="continue"/>
            <w:tcBorders>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65" w:type="pct"/>
            <w:gridSpan w:val="2"/>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小计</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c>
          <w:tcPr>
            <w:tcW w:w="1122"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c>
          <w:tcPr>
            <w:tcW w:w="679" w:type="pct"/>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eastAsia" w:ascii="仿宋" w:hAnsi="仿宋" w:eastAsia="仿宋" w:cs="黑体"/>
                <w:sz w:val="28"/>
                <w:szCs w:val="28"/>
                <w:lang w:val="en-US" w:eastAsia="zh-CN"/>
              </w:rPr>
            </w:pPr>
          </w:p>
        </w:tc>
      </w:tr>
    </w:tbl>
    <w:p>
      <w:pPr>
        <w:pStyle w:val="6"/>
        <w:rPr>
          <w:rFonts w:hint="eastAsia"/>
        </w:rPr>
      </w:pPr>
    </w:p>
    <w:p>
      <w:pPr>
        <w:spacing w:line="560" w:lineRule="exact"/>
        <w:jc w:val="left"/>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注：报价应包含完成本项目所要求的工作内容的所有费用。</w:t>
      </w:r>
    </w:p>
    <w:p>
      <w:pPr>
        <w:widowControl/>
        <w:spacing w:line="560" w:lineRule="exact"/>
        <w:jc w:val="left"/>
        <w:rPr>
          <w:rFonts w:hint="eastAsia" w:ascii="仿宋" w:hAnsi="仿宋" w:eastAsia="仿宋" w:cs="宋体"/>
          <w:kern w:val="2"/>
          <w:sz w:val="28"/>
          <w:szCs w:val="28"/>
        </w:rPr>
      </w:pPr>
    </w:p>
    <w:p>
      <w:pPr>
        <w:widowControl/>
        <w:spacing w:line="560" w:lineRule="exact"/>
        <w:jc w:val="left"/>
        <w:rPr>
          <w:rFonts w:hint="eastAsia" w:ascii="仿宋" w:hAnsi="仿宋" w:eastAsia="仿宋" w:cs="宋体"/>
          <w:kern w:val="2"/>
          <w:sz w:val="28"/>
          <w:szCs w:val="28"/>
        </w:rPr>
      </w:pPr>
      <w:r>
        <w:rPr>
          <w:rFonts w:hint="eastAsia" w:ascii="仿宋" w:hAnsi="仿宋" w:eastAsia="仿宋" w:cs="宋体"/>
          <w:kern w:val="2"/>
          <w:sz w:val="28"/>
          <w:szCs w:val="28"/>
        </w:rPr>
        <w:t>报价单位（公章）：</w:t>
      </w:r>
    </w:p>
    <w:p>
      <w:pPr>
        <w:widowControl/>
        <w:spacing w:line="560" w:lineRule="exact"/>
        <w:jc w:val="left"/>
        <w:rPr>
          <w:rFonts w:hint="eastAsia" w:ascii="仿宋" w:hAnsi="仿宋" w:eastAsia="仿宋" w:cs="宋体"/>
          <w:kern w:val="2"/>
          <w:sz w:val="28"/>
          <w:szCs w:val="28"/>
          <w:lang w:val="en-US" w:eastAsia="zh-CN"/>
        </w:rPr>
      </w:pPr>
      <w:r>
        <w:rPr>
          <w:rFonts w:hint="eastAsia" w:ascii="仿宋" w:hAnsi="仿宋" w:eastAsia="仿宋" w:cs="宋体"/>
          <w:kern w:val="2"/>
          <w:sz w:val="28"/>
          <w:szCs w:val="28"/>
          <w:lang w:val="en-US" w:eastAsia="zh-CN"/>
        </w:rPr>
        <w:t>联系人：</w:t>
      </w:r>
    </w:p>
    <w:p>
      <w:pPr>
        <w:widowControl/>
        <w:spacing w:line="560" w:lineRule="exact"/>
        <w:jc w:val="left"/>
        <w:rPr>
          <w:rFonts w:hint="eastAsia" w:ascii="仿宋" w:hAnsi="仿宋" w:eastAsia="仿宋" w:cs="宋体"/>
          <w:kern w:val="2"/>
          <w:sz w:val="28"/>
          <w:szCs w:val="28"/>
          <w:lang w:val="en-US" w:eastAsia="zh-CN"/>
        </w:rPr>
      </w:pPr>
      <w:r>
        <w:rPr>
          <w:rFonts w:hint="eastAsia" w:ascii="仿宋" w:hAnsi="仿宋" w:eastAsia="仿宋" w:cs="宋体"/>
          <w:kern w:val="2"/>
          <w:sz w:val="28"/>
          <w:szCs w:val="28"/>
          <w:lang w:val="en-US" w:eastAsia="zh-CN"/>
        </w:rPr>
        <w:t>联系电话：</w:t>
      </w:r>
    </w:p>
    <w:p>
      <w:pPr>
        <w:widowControl/>
        <w:jc w:val="left"/>
      </w:pPr>
      <w:r>
        <w:rPr>
          <w:rFonts w:hint="eastAsia" w:ascii="仿宋" w:hAnsi="仿宋" w:eastAsia="仿宋" w:cs="宋体"/>
          <w:kern w:val="2"/>
          <w:sz w:val="28"/>
          <w:szCs w:val="28"/>
        </w:rPr>
        <w:t>日期：</w:t>
      </w: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 xml:space="preserve">新疆华冉东方新能源有限公司、哈密华冉东方景峡风力发电有限公司 </w:t>
            </w:r>
            <w:r>
              <w:rPr>
                <w:rFonts w:hint="eastAsia" w:ascii="仿宋" w:hAnsi="仿宋" w:eastAsia="仿宋" w:cs="仿宋"/>
                <w:sz w:val="28"/>
                <w:szCs w:val="28"/>
              </w:rPr>
              <w:t xml:space="preserve">                           </w:t>
            </w:r>
          </w:p>
          <w:p>
            <w:pPr>
              <w:spacing w:line="560" w:lineRule="exact"/>
              <w:jc w:val="left"/>
              <w:rPr>
                <w:rFonts w:ascii="仿宋" w:hAnsi="仿宋" w:eastAsia="仿宋"/>
                <w:bCs/>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华冉烟墩、景峡风电场油品库、危废品库采购项目</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both"/>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pPr>
              <w:spacing w:line="560" w:lineRule="exact"/>
              <w:jc w:val="both"/>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pPr>
        <w:pStyle w:val="5"/>
      </w:pPr>
    </w:p>
    <w:p>
      <w:pPr>
        <w:pStyle w:val="5"/>
      </w:pPr>
    </w:p>
    <w:p>
      <w:pPr>
        <w:pStyle w:val="5"/>
      </w:pPr>
    </w:p>
    <w:p>
      <w:pPr>
        <w:pStyle w:val="5"/>
        <w:ind w:left="0"/>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DFKai-SB">
    <w:panose1 w:val="03000509000000000000"/>
    <w:charset w:val="88"/>
    <w:family w:val="script"/>
    <w:pitch w:val="default"/>
    <w:sig w:usb0="00000003" w:usb1="082E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11"/>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11"/>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7"/>
      </w:rPr>
    </w:pPr>
    <w:r>
      <w:fldChar w:fldCharType="begin"/>
    </w:r>
    <w:r>
      <w:rPr>
        <w:rStyle w:val="17"/>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11"/>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4NzkwNzUxMWVhMjhmNDljZjE3ZmEyNzY3NmE2NGYifQ=="/>
  </w:docVars>
  <w:rsids>
    <w:rsidRoot w:val="00B27415"/>
    <w:rsid w:val="00002B99"/>
    <w:rsid w:val="00013455"/>
    <w:rsid w:val="00044F25"/>
    <w:rsid w:val="00045511"/>
    <w:rsid w:val="0006614B"/>
    <w:rsid w:val="00070816"/>
    <w:rsid w:val="00096570"/>
    <w:rsid w:val="000B5717"/>
    <w:rsid w:val="000C2B71"/>
    <w:rsid w:val="000F2790"/>
    <w:rsid w:val="000F7416"/>
    <w:rsid w:val="00104EC2"/>
    <w:rsid w:val="00105E3B"/>
    <w:rsid w:val="00115E87"/>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4326"/>
    <w:rsid w:val="00317AA1"/>
    <w:rsid w:val="003233A8"/>
    <w:rsid w:val="0032782E"/>
    <w:rsid w:val="003F0D4F"/>
    <w:rsid w:val="003F3CCC"/>
    <w:rsid w:val="004274AD"/>
    <w:rsid w:val="0043405D"/>
    <w:rsid w:val="00445B0B"/>
    <w:rsid w:val="00455941"/>
    <w:rsid w:val="00476A31"/>
    <w:rsid w:val="00477711"/>
    <w:rsid w:val="00487C71"/>
    <w:rsid w:val="00492945"/>
    <w:rsid w:val="004A2E1A"/>
    <w:rsid w:val="004C497F"/>
    <w:rsid w:val="004D00E6"/>
    <w:rsid w:val="004D47A0"/>
    <w:rsid w:val="005078AE"/>
    <w:rsid w:val="005162AF"/>
    <w:rsid w:val="005603B0"/>
    <w:rsid w:val="00562820"/>
    <w:rsid w:val="00566E41"/>
    <w:rsid w:val="00577EE8"/>
    <w:rsid w:val="005F74ED"/>
    <w:rsid w:val="00650FA6"/>
    <w:rsid w:val="006C7DE8"/>
    <w:rsid w:val="006D0A3F"/>
    <w:rsid w:val="006F09D7"/>
    <w:rsid w:val="00711603"/>
    <w:rsid w:val="0071496E"/>
    <w:rsid w:val="00734254"/>
    <w:rsid w:val="00735AC0"/>
    <w:rsid w:val="007572C4"/>
    <w:rsid w:val="00757B0C"/>
    <w:rsid w:val="00762F52"/>
    <w:rsid w:val="00774A7D"/>
    <w:rsid w:val="007A1CDE"/>
    <w:rsid w:val="007B6FE7"/>
    <w:rsid w:val="007C3005"/>
    <w:rsid w:val="007C353E"/>
    <w:rsid w:val="007E5A47"/>
    <w:rsid w:val="007E793E"/>
    <w:rsid w:val="007F5542"/>
    <w:rsid w:val="00801038"/>
    <w:rsid w:val="00801C9A"/>
    <w:rsid w:val="00804BF4"/>
    <w:rsid w:val="00827C8F"/>
    <w:rsid w:val="008462B4"/>
    <w:rsid w:val="00873103"/>
    <w:rsid w:val="00883E64"/>
    <w:rsid w:val="00897AAD"/>
    <w:rsid w:val="008C3916"/>
    <w:rsid w:val="008D139D"/>
    <w:rsid w:val="008E41B2"/>
    <w:rsid w:val="008F67BC"/>
    <w:rsid w:val="009009DE"/>
    <w:rsid w:val="00911D33"/>
    <w:rsid w:val="00915A2C"/>
    <w:rsid w:val="009670F0"/>
    <w:rsid w:val="00980460"/>
    <w:rsid w:val="00981B95"/>
    <w:rsid w:val="00985630"/>
    <w:rsid w:val="009907DD"/>
    <w:rsid w:val="009912D7"/>
    <w:rsid w:val="0099653E"/>
    <w:rsid w:val="009E7483"/>
    <w:rsid w:val="00A31A62"/>
    <w:rsid w:val="00A371A5"/>
    <w:rsid w:val="00A44F94"/>
    <w:rsid w:val="00A514CD"/>
    <w:rsid w:val="00A6356B"/>
    <w:rsid w:val="00AE6926"/>
    <w:rsid w:val="00AF19A7"/>
    <w:rsid w:val="00AF6C01"/>
    <w:rsid w:val="00B0597A"/>
    <w:rsid w:val="00B213C6"/>
    <w:rsid w:val="00B2440E"/>
    <w:rsid w:val="00B27415"/>
    <w:rsid w:val="00B27F9C"/>
    <w:rsid w:val="00B306E1"/>
    <w:rsid w:val="00B95B50"/>
    <w:rsid w:val="00C22349"/>
    <w:rsid w:val="00C24B87"/>
    <w:rsid w:val="00C77853"/>
    <w:rsid w:val="00C90371"/>
    <w:rsid w:val="00C9445D"/>
    <w:rsid w:val="00C9713B"/>
    <w:rsid w:val="00CA7978"/>
    <w:rsid w:val="00CC0B8A"/>
    <w:rsid w:val="00CC655B"/>
    <w:rsid w:val="00CC73C7"/>
    <w:rsid w:val="00CD19E6"/>
    <w:rsid w:val="00D30523"/>
    <w:rsid w:val="00D40B35"/>
    <w:rsid w:val="00D5358C"/>
    <w:rsid w:val="00D825E4"/>
    <w:rsid w:val="00D83A01"/>
    <w:rsid w:val="00D96C43"/>
    <w:rsid w:val="00DA6B12"/>
    <w:rsid w:val="00DB53EB"/>
    <w:rsid w:val="00DB77AB"/>
    <w:rsid w:val="00E01132"/>
    <w:rsid w:val="00E0623B"/>
    <w:rsid w:val="00E15995"/>
    <w:rsid w:val="00E541A7"/>
    <w:rsid w:val="00E7195C"/>
    <w:rsid w:val="00E82DDA"/>
    <w:rsid w:val="00ED2C0C"/>
    <w:rsid w:val="00EF5FDE"/>
    <w:rsid w:val="00F00FF6"/>
    <w:rsid w:val="00F5468E"/>
    <w:rsid w:val="00FA3D89"/>
    <w:rsid w:val="00FA3E94"/>
    <w:rsid w:val="00FB0AA7"/>
    <w:rsid w:val="00FE7B71"/>
    <w:rsid w:val="00FF4DA2"/>
    <w:rsid w:val="010D6029"/>
    <w:rsid w:val="014E16D1"/>
    <w:rsid w:val="01763EE4"/>
    <w:rsid w:val="019404F8"/>
    <w:rsid w:val="027435A8"/>
    <w:rsid w:val="03911CFA"/>
    <w:rsid w:val="04A51C37"/>
    <w:rsid w:val="04D56032"/>
    <w:rsid w:val="05B352F6"/>
    <w:rsid w:val="05CB6CF9"/>
    <w:rsid w:val="06344057"/>
    <w:rsid w:val="069074E0"/>
    <w:rsid w:val="07977007"/>
    <w:rsid w:val="08464850"/>
    <w:rsid w:val="095D1FF9"/>
    <w:rsid w:val="099E6D7A"/>
    <w:rsid w:val="09D46E7F"/>
    <w:rsid w:val="0A657BB5"/>
    <w:rsid w:val="0B071D3B"/>
    <w:rsid w:val="0B1E459E"/>
    <w:rsid w:val="0C4A109F"/>
    <w:rsid w:val="0CC53C36"/>
    <w:rsid w:val="0D8E0F43"/>
    <w:rsid w:val="0D9D0734"/>
    <w:rsid w:val="0D9E0C77"/>
    <w:rsid w:val="0F3B6457"/>
    <w:rsid w:val="0FB176C2"/>
    <w:rsid w:val="105C48D7"/>
    <w:rsid w:val="134976C3"/>
    <w:rsid w:val="13782CA5"/>
    <w:rsid w:val="1606710E"/>
    <w:rsid w:val="1642397C"/>
    <w:rsid w:val="176A1DEE"/>
    <w:rsid w:val="178F264D"/>
    <w:rsid w:val="17D631C0"/>
    <w:rsid w:val="184D29B6"/>
    <w:rsid w:val="197B5F2C"/>
    <w:rsid w:val="19986D8A"/>
    <w:rsid w:val="1A8C7D2C"/>
    <w:rsid w:val="1AA3063B"/>
    <w:rsid w:val="1AFD3F5A"/>
    <w:rsid w:val="1BA553DF"/>
    <w:rsid w:val="1BA86C22"/>
    <w:rsid w:val="1C112A19"/>
    <w:rsid w:val="1C9B0535"/>
    <w:rsid w:val="1D23475D"/>
    <w:rsid w:val="1E1421FA"/>
    <w:rsid w:val="1E391DB3"/>
    <w:rsid w:val="1FAC34F6"/>
    <w:rsid w:val="20482782"/>
    <w:rsid w:val="20C65111"/>
    <w:rsid w:val="2149055F"/>
    <w:rsid w:val="21507B40"/>
    <w:rsid w:val="219519F6"/>
    <w:rsid w:val="220C33A5"/>
    <w:rsid w:val="227C6712"/>
    <w:rsid w:val="23F04498"/>
    <w:rsid w:val="24F30407"/>
    <w:rsid w:val="252217F3"/>
    <w:rsid w:val="25983CC6"/>
    <w:rsid w:val="26C708A4"/>
    <w:rsid w:val="27156E94"/>
    <w:rsid w:val="278560A8"/>
    <w:rsid w:val="292C1A88"/>
    <w:rsid w:val="29D560A6"/>
    <w:rsid w:val="2A0140CD"/>
    <w:rsid w:val="2A580C6A"/>
    <w:rsid w:val="2A7C1102"/>
    <w:rsid w:val="2A8D5961"/>
    <w:rsid w:val="2B5078E1"/>
    <w:rsid w:val="2C03218E"/>
    <w:rsid w:val="2C041C52"/>
    <w:rsid w:val="2CDF04A0"/>
    <w:rsid w:val="2D8E5371"/>
    <w:rsid w:val="2E50005F"/>
    <w:rsid w:val="2EA65243"/>
    <w:rsid w:val="2FDB147C"/>
    <w:rsid w:val="30007B50"/>
    <w:rsid w:val="301601A6"/>
    <w:rsid w:val="30B43CD5"/>
    <w:rsid w:val="3267695C"/>
    <w:rsid w:val="34683743"/>
    <w:rsid w:val="347C773A"/>
    <w:rsid w:val="351C000D"/>
    <w:rsid w:val="35AA2402"/>
    <w:rsid w:val="360E6DCB"/>
    <w:rsid w:val="3630651C"/>
    <w:rsid w:val="367F4CF7"/>
    <w:rsid w:val="3729757D"/>
    <w:rsid w:val="378F5C9E"/>
    <w:rsid w:val="381256F7"/>
    <w:rsid w:val="38BA0739"/>
    <w:rsid w:val="38E73D3B"/>
    <w:rsid w:val="39396DA0"/>
    <w:rsid w:val="39AA2205"/>
    <w:rsid w:val="39C80763"/>
    <w:rsid w:val="3A4E4C94"/>
    <w:rsid w:val="3AA52853"/>
    <w:rsid w:val="3BC105D6"/>
    <w:rsid w:val="3CC3384A"/>
    <w:rsid w:val="3CF834BA"/>
    <w:rsid w:val="3D8F7BCF"/>
    <w:rsid w:val="3DBF2749"/>
    <w:rsid w:val="3DF50A99"/>
    <w:rsid w:val="3E15182E"/>
    <w:rsid w:val="3F324661"/>
    <w:rsid w:val="3F6A78DB"/>
    <w:rsid w:val="421F738E"/>
    <w:rsid w:val="426D634C"/>
    <w:rsid w:val="42D614FD"/>
    <w:rsid w:val="44044E8F"/>
    <w:rsid w:val="44782D86"/>
    <w:rsid w:val="45CD0165"/>
    <w:rsid w:val="482C6361"/>
    <w:rsid w:val="486F44A0"/>
    <w:rsid w:val="496F29A9"/>
    <w:rsid w:val="49740A08"/>
    <w:rsid w:val="49907114"/>
    <w:rsid w:val="49BF1116"/>
    <w:rsid w:val="4AED192F"/>
    <w:rsid w:val="4AFF5FAF"/>
    <w:rsid w:val="4E0644D4"/>
    <w:rsid w:val="4F2D430F"/>
    <w:rsid w:val="4F45115F"/>
    <w:rsid w:val="50F71BB9"/>
    <w:rsid w:val="511F2457"/>
    <w:rsid w:val="52611429"/>
    <w:rsid w:val="527D74DC"/>
    <w:rsid w:val="533C1422"/>
    <w:rsid w:val="545F7ABE"/>
    <w:rsid w:val="55B04A5D"/>
    <w:rsid w:val="55D65B5E"/>
    <w:rsid w:val="55F11B8F"/>
    <w:rsid w:val="57F13B6D"/>
    <w:rsid w:val="580A7D41"/>
    <w:rsid w:val="59F22DF4"/>
    <w:rsid w:val="5BA27349"/>
    <w:rsid w:val="5BB54A13"/>
    <w:rsid w:val="5BCA35CF"/>
    <w:rsid w:val="5BF32AEA"/>
    <w:rsid w:val="5C262EDD"/>
    <w:rsid w:val="5C871960"/>
    <w:rsid w:val="5E456633"/>
    <w:rsid w:val="5ED5025A"/>
    <w:rsid w:val="5EFD3766"/>
    <w:rsid w:val="5F447FDD"/>
    <w:rsid w:val="5F9F0F19"/>
    <w:rsid w:val="602F6597"/>
    <w:rsid w:val="60A07F6B"/>
    <w:rsid w:val="610D0FDD"/>
    <w:rsid w:val="61A75520"/>
    <w:rsid w:val="632B560A"/>
    <w:rsid w:val="63A948B2"/>
    <w:rsid w:val="64183E80"/>
    <w:rsid w:val="642072FA"/>
    <w:rsid w:val="652B2F74"/>
    <w:rsid w:val="65E526B2"/>
    <w:rsid w:val="66914582"/>
    <w:rsid w:val="68F47A32"/>
    <w:rsid w:val="6A415844"/>
    <w:rsid w:val="6A681023"/>
    <w:rsid w:val="6AC626A8"/>
    <w:rsid w:val="6B0A3E88"/>
    <w:rsid w:val="6B511920"/>
    <w:rsid w:val="6C082A5B"/>
    <w:rsid w:val="6C23329B"/>
    <w:rsid w:val="6CBF3336"/>
    <w:rsid w:val="70253512"/>
    <w:rsid w:val="7153472C"/>
    <w:rsid w:val="7158196A"/>
    <w:rsid w:val="719E357C"/>
    <w:rsid w:val="71C1578E"/>
    <w:rsid w:val="722E2B52"/>
    <w:rsid w:val="725F6515"/>
    <w:rsid w:val="72CD165A"/>
    <w:rsid w:val="73A51321"/>
    <w:rsid w:val="73C41F9D"/>
    <w:rsid w:val="73C848E1"/>
    <w:rsid w:val="742660C6"/>
    <w:rsid w:val="764465C7"/>
    <w:rsid w:val="77A22FC8"/>
    <w:rsid w:val="77B05DB7"/>
    <w:rsid w:val="78AB7CCF"/>
    <w:rsid w:val="795C6E06"/>
    <w:rsid w:val="79C01FFF"/>
    <w:rsid w:val="7A8753D8"/>
    <w:rsid w:val="7A9016E2"/>
    <w:rsid w:val="7A9E2E4E"/>
    <w:rsid w:val="7B36248C"/>
    <w:rsid w:val="7B815AEF"/>
    <w:rsid w:val="7C766D2D"/>
    <w:rsid w:val="7C9433B1"/>
    <w:rsid w:val="7D98763B"/>
    <w:rsid w:val="7E385035"/>
    <w:rsid w:val="7ED05F49"/>
    <w:rsid w:val="7F1135E0"/>
    <w:rsid w:val="7F227308"/>
    <w:rsid w:val="7FB25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6">
    <w:name w:val="heading 3"/>
    <w:basedOn w:val="1"/>
    <w:next w:val="1"/>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7">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4395"/>
      </w:tabs>
      <w:spacing w:line="520" w:lineRule="exact"/>
      <w:ind w:firstLine="210"/>
      <w:textAlignment w:val="baseline"/>
    </w:pPr>
    <w:rPr>
      <w:rFonts w:ascii="黑体" w:hAnsi="Arial" w:eastAsia="黑体" w:cs="Arial"/>
      <w:szCs w:val="30"/>
    </w:rPr>
  </w:style>
  <w:style w:type="paragraph" w:styleId="3">
    <w:name w:val="Body Text Indent"/>
    <w:basedOn w:val="1"/>
    <w:next w:val="4"/>
    <w:qFormat/>
    <w:uiPriority w:val="0"/>
    <w:pPr>
      <w:tabs>
        <w:tab w:val="left" w:pos="4395"/>
      </w:tabs>
      <w:ind w:firstLine="567"/>
      <w:jc w:val="left"/>
    </w:pPr>
    <w:rPr>
      <w:rFonts w:eastAsia="DFKai-SB"/>
      <w:sz w:val="24"/>
      <w:szCs w:val="20"/>
      <w:lang w:eastAsia="zh-TW"/>
    </w:rPr>
  </w:style>
  <w:style w:type="paragraph" w:styleId="4">
    <w:name w:val="Body Text First Indent"/>
    <w:basedOn w:val="5"/>
    <w:unhideWhenUsed/>
    <w:qFormat/>
    <w:uiPriority w:val="99"/>
    <w:pPr>
      <w:spacing w:before="120" w:line="312" w:lineRule="atLeast"/>
      <w:ind w:firstLine="420" w:firstLineChars="100"/>
    </w:pPr>
    <w:rPr>
      <w:rFonts w:ascii="宋体" w:hAnsi="宋体"/>
      <w:sz w:val="20"/>
    </w:rPr>
  </w:style>
  <w:style w:type="paragraph" w:styleId="5">
    <w:name w:val="Body Text"/>
    <w:basedOn w:val="1"/>
    <w:next w:val="1"/>
    <w:qFormat/>
    <w:uiPriority w:val="1"/>
    <w:pPr>
      <w:ind w:left="998"/>
    </w:pPr>
    <w:rPr>
      <w:sz w:val="24"/>
      <w:szCs w:val="24"/>
    </w:rPr>
  </w:style>
  <w:style w:type="paragraph" w:styleId="8">
    <w:name w:val="Normal Indent"/>
    <w:basedOn w:val="1"/>
    <w:qFormat/>
    <w:uiPriority w:val="0"/>
    <w:pPr>
      <w:ind w:firstLine="420"/>
    </w:pPr>
    <w:rPr>
      <w:szCs w:val="20"/>
    </w:rPr>
  </w:style>
  <w:style w:type="paragraph" w:styleId="9">
    <w:name w:val="annotation text"/>
    <w:basedOn w:val="1"/>
    <w:link w:val="27"/>
    <w:semiHidden/>
    <w:unhideWhenUsed/>
    <w:qFormat/>
    <w:uiPriority w:val="99"/>
    <w:pPr>
      <w:jc w:val="left"/>
    </w:pPr>
  </w:style>
  <w:style w:type="paragraph" w:styleId="10">
    <w:name w:val="Balloon Text"/>
    <w:basedOn w:val="1"/>
    <w:link w:val="23"/>
    <w:semiHidden/>
    <w:unhideWhenUsed/>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3">
    <w:name w:val="annotation subject"/>
    <w:basedOn w:val="9"/>
    <w:next w:val="9"/>
    <w:link w:val="28"/>
    <w:semiHidden/>
    <w:unhideWhenUsed/>
    <w:qFormat/>
    <w:uiPriority w:val="99"/>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nhideWhenUsed/>
    <w:qFormat/>
    <w:uiPriority w:val="0"/>
  </w:style>
  <w:style w:type="character" w:styleId="18">
    <w:name w:val="annotation reference"/>
    <w:basedOn w:val="16"/>
    <w:semiHidden/>
    <w:unhideWhenUsed/>
    <w:qFormat/>
    <w:uiPriority w:val="99"/>
    <w:rPr>
      <w:sz w:val="21"/>
      <w:szCs w:val="21"/>
    </w:rPr>
  </w:style>
  <w:style w:type="character" w:customStyle="1" w:styleId="19">
    <w:name w:val="页眉 字符"/>
    <w:link w:val="12"/>
    <w:qFormat/>
    <w:locked/>
    <w:uiPriority w:val="0"/>
    <w:rPr>
      <w:rFonts w:cs="Times New Roman"/>
      <w:sz w:val="18"/>
      <w:szCs w:val="18"/>
    </w:rPr>
  </w:style>
  <w:style w:type="character" w:customStyle="1" w:styleId="20">
    <w:name w:val="页脚 字符"/>
    <w:link w:val="11"/>
    <w:qFormat/>
    <w:locked/>
    <w:uiPriority w:val="99"/>
    <w:rPr>
      <w:rFonts w:cs="Times New Roman"/>
      <w:sz w:val="18"/>
      <w:szCs w:val="18"/>
    </w:rPr>
  </w:style>
  <w:style w:type="character" w:customStyle="1" w:styleId="21">
    <w:name w:val="页眉 Char1"/>
    <w:basedOn w:val="16"/>
    <w:semiHidden/>
    <w:qFormat/>
    <w:uiPriority w:val="99"/>
    <w:rPr>
      <w:rFonts w:ascii="Calibri" w:hAnsi="Calibri" w:eastAsia="宋体" w:cs="Calibri"/>
      <w:sz w:val="18"/>
      <w:szCs w:val="18"/>
    </w:rPr>
  </w:style>
  <w:style w:type="character" w:customStyle="1" w:styleId="22">
    <w:name w:val="页脚 Char1"/>
    <w:basedOn w:val="16"/>
    <w:semiHidden/>
    <w:qFormat/>
    <w:uiPriority w:val="99"/>
    <w:rPr>
      <w:rFonts w:ascii="Calibri" w:hAnsi="Calibri" w:eastAsia="宋体" w:cs="Calibri"/>
      <w:sz w:val="18"/>
      <w:szCs w:val="18"/>
    </w:rPr>
  </w:style>
  <w:style w:type="character" w:customStyle="1" w:styleId="23">
    <w:name w:val="批注框文本 字符"/>
    <w:basedOn w:val="16"/>
    <w:link w:val="10"/>
    <w:semiHidden/>
    <w:qFormat/>
    <w:uiPriority w:val="99"/>
    <w:rPr>
      <w:rFonts w:ascii="Calibri" w:hAnsi="Calibri" w:eastAsia="宋体" w:cs="Calibri"/>
      <w:sz w:val="18"/>
      <w:szCs w:val="18"/>
    </w:rPr>
  </w:style>
  <w:style w:type="paragraph" w:styleId="24">
    <w:name w:val="List Paragraph"/>
    <w:basedOn w:val="1"/>
    <w:qFormat/>
    <w:uiPriority w:val="34"/>
    <w:pPr>
      <w:ind w:firstLine="420" w:firstLineChars="200"/>
    </w:pPr>
  </w:style>
  <w:style w:type="character" w:customStyle="1" w:styleId="25">
    <w:name w:val="样式 仿宋"/>
    <w:qFormat/>
    <w:uiPriority w:val="0"/>
    <w:rPr>
      <w:rFonts w:ascii="仿宋" w:hAnsi="仿宋" w:eastAsia="仿宋"/>
      <w:kern w:val="1"/>
    </w:rPr>
  </w:style>
  <w:style w:type="paragraph" w:customStyle="1" w:styleId="26">
    <w:name w:val="修订1"/>
    <w:hidden/>
    <w:semiHidden/>
    <w:qFormat/>
    <w:uiPriority w:val="99"/>
    <w:rPr>
      <w:rFonts w:ascii="Calibri" w:hAnsi="Calibri" w:eastAsia="宋体" w:cs="Calibri"/>
      <w:kern w:val="2"/>
      <w:sz w:val="21"/>
      <w:szCs w:val="22"/>
      <w:lang w:val="en-US" w:eastAsia="zh-CN" w:bidi="ar-SA"/>
    </w:rPr>
  </w:style>
  <w:style w:type="character" w:customStyle="1" w:styleId="27">
    <w:name w:val="批注文字 字符"/>
    <w:basedOn w:val="16"/>
    <w:link w:val="9"/>
    <w:semiHidden/>
    <w:qFormat/>
    <w:uiPriority w:val="99"/>
    <w:rPr>
      <w:rFonts w:ascii="Calibri" w:hAnsi="Calibri" w:cs="Calibri"/>
      <w:kern w:val="2"/>
      <w:sz w:val="21"/>
      <w:szCs w:val="22"/>
    </w:rPr>
  </w:style>
  <w:style w:type="character" w:customStyle="1" w:styleId="28">
    <w:name w:val="批注主题 字符"/>
    <w:basedOn w:val="27"/>
    <w:link w:val="13"/>
    <w:semiHidden/>
    <w:qFormat/>
    <w:uiPriority w:val="99"/>
    <w:rPr>
      <w:rFonts w:ascii="Calibri" w:hAnsi="Calibri" w:cs="Calibri"/>
      <w:b/>
      <w:bCs/>
      <w:kern w:val="2"/>
      <w:sz w:val="21"/>
      <w:szCs w:val="22"/>
    </w:rPr>
  </w:style>
  <w:style w:type="paragraph" w:customStyle="1" w:styleId="29">
    <w:name w:val="修订2"/>
    <w:hidden/>
    <w:semiHidden/>
    <w:qFormat/>
    <w:uiPriority w:val="99"/>
    <w:rPr>
      <w:rFonts w:ascii="Calibri" w:hAnsi="Calibri" w:eastAsia="宋体" w:cs="Calibri"/>
      <w:kern w:val="2"/>
      <w:sz w:val="21"/>
      <w:szCs w:val="22"/>
      <w:lang w:val="en-US" w:eastAsia="zh-CN" w:bidi="ar-SA"/>
    </w:rPr>
  </w:style>
  <w:style w:type="paragraph" w:customStyle="1" w:styleId="30">
    <w:name w:val="修订3"/>
    <w:hidden/>
    <w:semiHidden/>
    <w:qFormat/>
    <w:uiPriority w:val="99"/>
    <w:rPr>
      <w:rFonts w:ascii="Calibri" w:hAnsi="Calibri" w:eastAsia="宋体" w:cs="Calibri"/>
      <w:kern w:val="2"/>
      <w:sz w:val="21"/>
      <w:szCs w:val="22"/>
      <w:lang w:val="en-US" w:eastAsia="zh-CN" w:bidi="ar-SA"/>
    </w:rPr>
  </w:style>
  <w:style w:type="paragraph" w:customStyle="1" w:styleId="31">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2485</Words>
  <Characters>2682</Characters>
  <Lines>21</Lines>
  <Paragraphs>5</Paragraphs>
  <TotalTime>81</TotalTime>
  <ScaleCrop>false</ScaleCrop>
  <LinksUpToDate>false</LinksUpToDate>
  <CharactersWithSpaces>2762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2023-05-26T01:33:00Z</dcterms:created>
  <dc:creator>andy</dc:creator>
  <cp:lastModifiedBy>赵彦杰</cp:lastModifiedBy>
  <cp:lastPrinted>2023-05-05T01:33:00Z</cp:lastPrinted>
  <dcterms:modified xsi:type="dcterms:W3CDTF">2023-11-07T08:28:26Z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56409B3DB542471B895CFDC015C7788B_13</vt:lpwstr>
  </property>
</Properties>
</file>