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蒙西二座光伏电站电力交易策略</w:t>
      </w:r>
    </w:p>
    <w:p>
      <w:pPr>
        <w:spacing w:line="560" w:lineRule="exact"/>
        <w:jc w:val="center"/>
        <w:rPr>
          <w:rFonts w:ascii="黑体" w:hAnsi="黑体" w:eastAsia="黑体" w:cs="Arial"/>
          <w:kern w:val="0"/>
          <w:sz w:val="32"/>
          <w:szCs w:val="32"/>
        </w:rPr>
      </w:pPr>
      <w:r>
        <w:rPr>
          <w:rFonts w:hint="eastAsia" w:ascii="方正小标宋简体" w:hAnsi="方正小标宋简体" w:eastAsia="方正小标宋简体" w:cs="方正小标宋简体"/>
          <w:sz w:val="44"/>
          <w:szCs w:val="44"/>
        </w:rPr>
        <w:t>服务</w:t>
      </w:r>
      <w:r>
        <w:rPr>
          <w:rFonts w:hint="eastAsia" w:ascii="方正小标宋简体" w:hAnsi="方正小标宋简体" w:eastAsia="方正小标宋简体" w:cs="方正小标宋简体"/>
          <w:sz w:val="44"/>
          <w:szCs w:val="44"/>
          <w:lang w:val="en-US" w:eastAsia="zh-CN"/>
        </w:rPr>
        <w:t>询价</w:t>
      </w:r>
      <w:r>
        <w:rPr>
          <w:rFonts w:hint="eastAsia" w:ascii="方正小标宋简体" w:hAnsi="方正小标宋简体" w:eastAsia="方正小标宋简体" w:cs="方正小标宋简体"/>
          <w:sz w:val="44"/>
          <w:szCs w:val="44"/>
        </w:rPr>
        <w:t>采购公告</w:t>
      </w:r>
    </w:p>
    <w:p>
      <w:pPr>
        <w:spacing w:line="560" w:lineRule="exact"/>
        <w:ind w:firstLine="640" w:firstLineChars="200"/>
        <w:rPr>
          <w:rFonts w:ascii="黑体" w:hAnsi="黑体" w:eastAsia="黑体" w:cs="Arial"/>
          <w:kern w:val="0"/>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Arial"/>
          <w:kern w:val="0"/>
          <w:sz w:val="32"/>
          <w:szCs w:val="32"/>
        </w:rPr>
      </w:pPr>
      <w:r>
        <w:rPr>
          <w:rFonts w:hint="eastAsia" w:ascii="黑体" w:hAnsi="黑体" w:eastAsia="黑体" w:cs="Arial"/>
          <w:kern w:val="0"/>
          <w:sz w:val="32"/>
          <w:szCs w:val="32"/>
        </w:rPr>
        <w:t>一、项目基本情况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1.采购单位：青岛城投新能源集团有限公司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2.服务名称：蒙西二座光伏电站电力交易策略服务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3.服务内容：</w:t>
      </w:r>
      <w:bookmarkStart w:id="0" w:name="_Hlk71881019"/>
      <w:bookmarkEnd w:id="0"/>
      <w:r>
        <w:rPr>
          <w:rFonts w:hint="eastAsia" w:ascii="仿宋_GB2312" w:hAnsi="仿宋_GB2312" w:eastAsia="仿宋_GB2312" w:cs="仿宋_GB2312"/>
          <w:kern w:val="0"/>
          <w:sz w:val="32"/>
          <w:szCs w:val="32"/>
        </w:rPr>
        <w:t>委托专业代理机构为新能源集团所属蒙西二座光伏电站（包头100领跑者项目、包头50领跑者项目）2024年1月-2024年12月提供电力市场化交易交易策略服务，服务内容包含电力交易平台开户使用、交易策略服务及培训服务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4.服务地点：项目所在地</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5.采购预算：43.7万元</w:t>
      </w:r>
    </w:p>
    <w:p>
      <w:pPr>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keepNext w:val="0"/>
        <w:keepLines w:val="0"/>
        <w:pageBreakBefore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kern w:val="0"/>
          <w:sz w:val="32"/>
          <w:szCs w:val="32"/>
        </w:rPr>
      </w:pPr>
      <w:bookmarkStart w:id="1" w:name="_Hlk154172804"/>
      <w:r>
        <w:rPr>
          <w:rFonts w:hint="eastAsia" w:ascii="仿宋_GB2312" w:hAnsi="仿宋_GB2312" w:eastAsia="仿宋_GB2312" w:cs="仿宋_GB2312"/>
          <w:kern w:val="0"/>
          <w:sz w:val="32"/>
          <w:szCs w:val="32"/>
        </w:rPr>
        <w:t>1.在中华人民共和国境内注册，具有独立法人资格，持有营业执照；</w:t>
      </w:r>
    </w:p>
    <w:bookmarkEnd w:id="1"/>
    <w:p>
      <w:pPr>
        <w:keepNext w:val="0"/>
        <w:keepLines w:val="0"/>
        <w:pageBreakBefore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2.具有自主知识产权的电力交易平台；</w:t>
      </w:r>
    </w:p>
    <w:p>
      <w:pPr>
        <w:keepNext w:val="0"/>
        <w:keepLines w:val="0"/>
        <w:pageBreakBefore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3.具有近一年（2022年12月1日至今）至少3份已正式开放现货省份电力市场化交易委托业绩；</w:t>
      </w:r>
    </w:p>
    <w:p>
      <w:pPr>
        <w:keepNext w:val="0"/>
        <w:keepLines w:val="0"/>
        <w:pageBreakBefore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4.本项目不接受联合体报价。</w:t>
      </w:r>
    </w:p>
    <w:p>
      <w:pPr>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Arial"/>
          <w:kern w:val="0"/>
          <w:sz w:val="32"/>
          <w:szCs w:val="32"/>
        </w:rPr>
      </w:pPr>
      <w:r>
        <w:rPr>
          <w:rFonts w:hint="eastAsia" w:ascii="黑体" w:hAnsi="黑体" w:eastAsia="黑体" w:cs="Arial"/>
          <w:kern w:val="0"/>
          <w:sz w:val="32"/>
          <w:szCs w:val="32"/>
        </w:rPr>
        <w:t>三、合同主要条款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1.服务期限：代理二座光伏电站2024年1月-2024年12月的电力市场化交易服务。合同截止2024年12月31日。可根据服务情况续约一年。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（1）信息平台服务：提供支撑蒙西电力现货市场交易需要的现货交易管理平台及工具，提高交易工作效率，提升数据分析与优化决策能力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（2）交易策略服务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研究蒙西电力现货市场运行期间的月、月内等中长期交易策略和已有合约电量曲线的优化策略。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研究蒙西电力现货市场供需情况、出清价格规律，结合市场规则更新迭代，制定中长期、现货交易策略，通过现场服务、远程指导等方式，指导开展电力现货市场交易。</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协助完成交易复盘，提出策略与管理优化建议。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（3）提供电力交易培训服务。电力交易培训应为电力交易中心或知名培训机构组织的电力现货或交易策略等专项培训，委托方全年参与培训不少于10人/次，应包含参与培训人员所有培训及食宿等费用。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每半年结算一次。2024年7月15日前受托人应将半年交易复盘总结报告及增值税专用发票提报给委托人，委托人确认无误后，支付合同价款的50%。2025年1月底前受托人应提报2024年全年交易复盘总结报告并开具增值税专用发票，委托人确认无误后支付剩余50%合同款项。需提供6%增值税专用发票。</w:t>
      </w:r>
    </w:p>
    <w:p>
      <w:pPr>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Arial"/>
          <w:kern w:val="0"/>
          <w:sz w:val="32"/>
          <w:szCs w:val="32"/>
        </w:rPr>
      </w:pPr>
      <w:r>
        <w:rPr>
          <w:rFonts w:hint="eastAsia" w:ascii="黑体" w:hAnsi="黑体" w:eastAsia="黑体" w:cs="Arial"/>
          <w:kern w:val="0"/>
          <w:sz w:val="32"/>
          <w:szCs w:val="32"/>
        </w:rPr>
        <w:t>四、报价要求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1.报价应为含税全包价，包括提供相关服务的所有费用，包括但不限于：交易服务费、差旅费、报告文本费等。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4.报价文件资料需提供2份，包括：</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（3）营业执照副本</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（4）合同业绩证明（包含合同首页、签字盖章页及能体现电力市场化交易委托的合同关键页）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（5）电力交易平台软件著作权证明材料</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以上材料需装订成册，其中第（1）、（2）条需按照附件格式要求打印并加盖公章，第（3）、（4）、（5）条可提供原件或复印件，如提供复印件须加盖公章。</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5.报价单位资质需符合本公告报价单位资格要求，否则报价无效。</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6.参与本次询价的公司不得同时参与蒙西四座光伏电站电力市场化交易委托服务询价采购，否则报价无效。</w:t>
      </w:r>
    </w:p>
    <w:p>
      <w:pPr>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Arial"/>
          <w:kern w:val="0"/>
          <w:sz w:val="32"/>
          <w:szCs w:val="32"/>
        </w:rPr>
      </w:pPr>
      <w:r>
        <w:rPr>
          <w:rFonts w:hint="eastAsia" w:ascii="黑体" w:hAnsi="黑体" w:eastAsia="黑体" w:cs="Arial"/>
          <w:kern w:val="0"/>
          <w:sz w:val="32"/>
          <w:szCs w:val="32"/>
        </w:rPr>
        <w:t>五、评标方式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1.报价截止时间：2023年12月28日</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：00。</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3.邮寄地址：青岛市崂山区香港东路195号上实中心T2城投大厦14楼。</w:t>
      </w:r>
    </w:p>
    <w:p>
      <w:pPr>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Arial"/>
          <w:kern w:val="0"/>
          <w:sz w:val="32"/>
          <w:szCs w:val="32"/>
        </w:rPr>
      </w:pPr>
      <w:r>
        <w:rPr>
          <w:rFonts w:hint="eastAsia" w:ascii="黑体" w:hAnsi="黑体" w:eastAsia="黑体" w:cs="Arial"/>
          <w:kern w:val="0"/>
          <w:sz w:val="32"/>
          <w:szCs w:val="32"/>
        </w:rPr>
        <w:t>七、公告期限</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Arial"/>
          <w:kern w:val="0"/>
          <w:sz w:val="32"/>
          <w:szCs w:val="32"/>
        </w:rPr>
      </w:pPr>
      <w:r>
        <w:rPr>
          <w:rFonts w:hint="eastAsia" w:ascii="黑体" w:hAnsi="黑体" w:eastAsia="黑体" w:cs="Arial"/>
          <w:kern w:val="0"/>
          <w:sz w:val="32"/>
          <w:szCs w:val="32"/>
        </w:rPr>
        <w:t>八、联系方式</w:t>
      </w:r>
    </w:p>
    <w:p>
      <w:pPr>
        <w:keepNext w:val="0"/>
        <w:keepLines w:val="0"/>
        <w:pageBreakBefore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 xml:space="preserve">联系人：阎子衿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联系电话：13206431600</w:t>
      </w: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kern w:val="0"/>
          <w:sz w:val="32"/>
          <w:szCs w:val="32"/>
          <w:lang w:val="en-US" w:eastAsia="zh-CN"/>
        </w:rPr>
      </w:pPr>
      <w:bookmarkStart w:id="2" w:name="_GoBack"/>
      <w:bookmarkEnd w:id="2"/>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采购单位：青岛城投新能源集团有限公司</w:t>
      </w:r>
    </w:p>
    <w:p>
      <w:pPr>
        <w:keepNext w:val="0"/>
        <w:keepLines w:val="0"/>
        <w:pageBreakBefore w:val="0"/>
        <w:widowControl/>
        <w:kinsoku/>
        <w:wordWrap/>
        <w:overflowPunct/>
        <w:topLinePunct w:val="0"/>
        <w:autoSpaceDE/>
        <w:autoSpaceDN/>
        <w:bidi w:val="0"/>
        <w:spacing w:line="560" w:lineRule="exact"/>
        <w:jc w:val="center"/>
        <w:textAlignment w:val="auto"/>
        <w:rPr>
          <w:rFonts w:ascii="仿宋" w:hAnsi="仿宋" w:eastAsia="仿宋"/>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2023年12月25日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致：</w:t>
      </w:r>
      <w:r>
        <w:rPr>
          <w:rFonts w:hint="eastAsia" w:ascii="仿宋" w:hAnsi="仿宋" w:eastAsia="仿宋" w:cs="Arial"/>
          <w:kern w:val="0"/>
          <w:sz w:val="32"/>
          <w:szCs w:val="32"/>
        </w:rPr>
        <w:t>青岛城投新能源集团有限公司</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根据已收到的贵方</w:t>
      </w:r>
      <w:r>
        <w:rPr>
          <w:rFonts w:hint="eastAsia" w:ascii="仿宋" w:hAnsi="仿宋" w:eastAsia="仿宋"/>
          <w:sz w:val="32"/>
          <w:szCs w:val="32"/>
          <w:u w:val="single"/>
        </w:rPr>
        <w:t>蒙西二座电站电力交易策略服务报价单</w:t>
      </w:r>
      <w:r>
        <w:rPr>
          <w:rFonts w:hint="eastAsia" w:ascii="仿宋" w:hAnsi="仿宋" w:eastAsia="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pPr>
      <w:r>
        <w:rPr>
          <w:rFonts w:hint="eastAsia" w:ascii="仿宋" w:hAnsi="仿宋" w:eastAsia="仿宋"/>
          <w:sz w:val="32"/>
          <w:szCs w:val="32"/>
        </w:rPr>
        <w:t>联系方式：</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jc w:val="center"/>
        <w:rPr>
          <w:rFonts w:ascii="仿宋" w:hAnsi="仿宋" w:eastAsia="仿宋" w:cs="仿宋"/>
          <w:b/>
          <w:bCs/>
          <w:sz w:val="36"/>
          <w:szCs w:val="36"/>
        </w:rPr>
      </w:pPr>
      <w:r>
        <w:rPr>
          <w:rFonts w:hint="eastAsia" w:ascii="仿宋" w:hAnsi="仿宋" w:eastAsia="仿宋" w:cs="仿宋"/>
          <w:b/>
          <w:sz w:val="32"/>
          <w:szCs w:val="32"/>
          <w:u w:val="single"/>
        </w:rPr>
        <w:t>蒙西二座电站电力交易策略服务报价单</w:t>
      </w:r>
    </w:p>
    <w:tbl>
      <w:tblPr>
        <w:tblStyle w:val="11"/>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585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799"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项目名称</w:t>
            </w:r>
          </w:p>
        </w:tc>
        <w:tc>
          <w:tcPr>
            <w:tcW w:w="5855"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服务内容</w:t>
            </w:r>
          </w:p>
        </w:tc>
        <w:tc>
          <w:tcPr>
            <w:tcW w:w="2049" w:type="dxa"/>
            <w:vAlign w:val="center"/>
          </w:tcPr>
          <w:p>
            <w:pPr>
              <w:spacing w:line="560" w:lineRule="exact"/>
              <w:ind w:firstLine="420" w:firstLineChars="200"/>
              <w:rPr>
                <w:rFonts w:ascii="仿宋" w:hAnsi="仿宋" w:eastAsia="仿宋" w:cs="黑体"/>
                <w:szCs w:val="21"/>
              </w:rPr>
            </w:pPr>
            <w:r>
              <w:rPr>
                <w:rFonts w:hint="eastAsia" w:ascii="仿宋" w:hAnsi="仿宋" w:eastAsia="仿宋" w:cs="黑体"/>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1799" w:type="dxa"/>
            <w:vAlign w:val="center"/>
          </w:tcPr>
          <w:p>
            <w:pPr>
              <w:spacing w:line="560" w:lineRule="exact"/>
              <w:jc w:val="center"/>
              <w:rPr>
                <w:rFonts w:ascii="仿宋" w:hAnsi="仿宋" w:eastAsia="仿宋"/>
                <w:bCs/>
                <w:szCs w:val="21"/>
              </w:rPr>
            </w:pPr>
            <w:r>
              <w:rPr>
                <w:rFonts w:hint="eastAsia" w:ascii="仿宋" w:hAnsi="仿宋" w:eastAsia="仿宋"/>
                <w:bCs/>
                <w:szCs w:val="21"/>
              </w:rPr>
              <w:t>蒙西二座电站电力交易策略服务报价单</w:t>
            </w:r>
          </w:p>
        </w:tc>
        <w:tc>
          <w:tcPr>
            <w:tcW w:w="5855" w:type="dxa"/>
            <w:vAlign w:val="center"/>
          </w:tcPr>
          <w:p>
            <w:pPr>
              <w:spacing w:line="560" w:lineRule="exact"/>
              <w:jc w:val="left"/>
              <w:rPr>
                <w:rFonts w:ascii="仿宋" w:hAnsi="仿宋" w:eastAsia="仿宋"/>
                <w:bCs/>
                <w:szCs w:val="21"/>
              </w:rPr>
            </w:pPr>
            <w:r>
              <w:rPr>
                <w:rFonts w:hint="eastAsia" w:ascii="仿宋" w:hAnsi="仿宋" w:eastAsia="仿宋"/>
                <w:bCs/>
                <w:szCs w:val="21"/>
              </w:rPr>
              <w:t>（1）信息平台服务：提供支撑蒙西电力现货市场交易需要的现货交易管理平台及工具，提高交易工作效率，提升数据分析与优化决策能力</w:t>
            </w:r>
          </w:p>
          <w:p>
            <w:pPr>
              <w:spacing w:line="560" w:lineRule="exact"/>
              <w:jc w:val="left"/>
              <w:rPr>
                <w:rFonts w:ascii="仿宋" w:hAnsi="仿宋" w:eastAsia="仿宋"/>
                <w:bCs/>
                <w:szCs w:val="21"/>
              </w:rPr>
            </w:pPr>
            <w:r>
              <w:rPr>
                <w:rFonts w:hint="eastAsia" w:ascii="仿宋" w:hAnsi="仿宋" w:eastAsia="仿宋"/>
                <w:bCs/>
                <w:szCs w:val="21"/>
              </w:rPr>
              <w:t>（2）交易策略服务：研究蒙西电力现货市场运行期间的月、月内等中长期交易策略和已有合约电量曲线的优化策略。</w:t>
            </w:r>
          </w:p>
          <w:p>
            <w:pPr>
              <w:spacing w:line="560" w:lineRule="exact"/>
              <w:jc w:val="left"/>
              <w:rPr>
                <w:rFonts w:ascii="仿宋" w:hAnsi="仿宋" w:eastAsia="仿宋"/>
                <w:bCs/>
                <w:szCs w:val="21"/>
              </w:rPr>
            </w:pPr>
            <w:r>
              <w:rPr>
                <w:rFonts w:hint="eastAsia" w:ascii="仿宋" w:hAnsi="仿宋" w:eastAsia="仿宋"/>
                <w:bCs/>
                <w:szCs w:val="21"/>
              </w:rPr>
              <w:t>研究蒙西电力现货市场供需情况、出清价格规律，结合市场规则更新迭代，制定中长期、现货交易策略，通过现场服务、远程指导等方式，指导开展电力现货市场交易。</w:t>
            </w:r>
          </w:p>
          <w:p>
            <w:pPr>
              <w:spacing w:line="560" w:lineRule="exact"/>
              <w:jc w:val="left"/>
              <w:rPr>
                <w:rFonts w:ascii="仿宋" w:hAnsi="仿宋" w:eastAsia="仿宋"/>
                <w:bCs/>
                <w:szCs w:val="21"/>
              </w:rPr>
            </w:pPr>
            <w:r>
              <w:rPr>
                <w:rFonts w:hint="eastAsia" w:ascii="仿宋" w:hAnsi="仿宋" w:eastAsia="仿宋"/>
                <w:bCs/>
                <w:szCs w:val="21"/>
              </w:rPr>
              <w:t>协助完成交易复盘，提出策略与管理优化建议。</w:t>
            </w:r>
          </w:p>
          <w:p>
            <w:pPr>
              <w:spacing w:line="560" w:lineRule="exact"/>
              <w:jc w:val="left"/>
              <w:rPr>
                <w:rFonts w:ascii="仿宋" w:hAnsi="仿宋" w:eastAsia="仿宋"/>
                <w:bCs/>
                <w:szCs w:val="21"/>
              </w:rPr>
            </w:pPr>
            <w:r>
              <w:rPr>
                <w:rFonts w:hint="eastAsia" w:ascii="仿宋" w:hAnsi="仿宋" w:eastAsia="仿宋"/>
                <w:bCs/>
                <w:szCs w:val="21"/>
              </w:rPr>
              <w:t>（3）提供电力交易培训服务。</w:t>
            </w:r>
            <w:r>
              <w:rPr>
                <w:rFonts w:ascii="仿宋" w:hAnsi="仿宋" w:eastAsia="仿宋"/>
                <w:bCs/>
                <w:szCs w:val="21"/>
              </w:rPr>
              <w:t xml:space="preserve"> </w:t>
            </w:r>
          </w:p>
        </w:tc>
        <w:tc>
          <w:tcPr>
            <w:tcW w:w="2049" w:type="dxa"/>
            <w:vAlign w:val="center"/>
          </w:tcPr>
          <w:p>
            <w:pPr>
              <w:spacing w:line="560" w:lineRule="exact"/>
              <w:jc w:val="center"/>
              <w:rPr>
                <w:rFonts w:ascii="仿宋" w:hAnsi="仿宋" w:eastAsia="仿宋" w:cs="仿宋_GB2312"/>
                <w:szCs w:val="21"/>
              </w:rPr>
            </w:pPr>
          </w:p>
        </w:tc>
      </w:tr>
    </w:tbl>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黑体"/>
          <w:sz w:val="28"/>
          <w:szCs w:val="28"/>
        </w:rPr>
      </w:pPr>
      <w:r>
        <w:rPr>
          <w:rFonts w:hint="eastAsia" w:ascii="仿宋" w:hAnsi="仿宋" w:eastAsia="仿宋" w:cs="宋体"/>
          <w:sz w:val="28"/>
          <w:szCs w:val="28"/>
        </w:rPr>
        <w:t>1.服务周期</w:t>
      </w:r>
      <w:r>
        <w:rPr>
          <w:rFonts w:hint="eastAsia" w:ascii="仿宋" w:hAnsi="仿宋" w:eastAsia="仿宋"/>
          <w:sz w:val="28"/>
          <w:szCs w:val="28"/>
        </w:rPr>
        <w:t>：</w:t>
      </w:r>
      <w:r>
        <w:rPr>
          <w:rFonts w:hint="eastAsia" w:ascii="仿宋" w:hAnsi="仿宋" w:eastAsia="仿宋" w:cs="宋体"/>
          <w:sz w:val="28"/>
          <w:szCs w:val="28"/>
        </w:rPr>
        <w:t>代理二座光伏电站202</w:t>
      </w:r>
      <w:r>
        <w:rPr>
          <w:rFonts w:ascii="仿宋" w:hAnsi="仿宋" w:eastAsia="仿宋" w:cs="宋体"/>
          <w:sz w:val="28"/>
          <w:szCs w:val="28"/>
        </w:rPr>
        <w:t>4</w:t>
      </w:r>
      <w:r>
        <w:rPr>
          <w:rFonts w:hint="eastAsia" w:ascii="仿宋" w:hAnsi="仿宋" w:eastAsia="仿宋" w:cs="宋体"/>
          <w:sz w:val="28"/>
          <w:szCs w:val="28"/>
        </w:rPr>
        <w:t>年</w:t>
      </w:r>
      <w:r>
        <w:rPr>
          <w:rFonts w:ascii="仿宋" w:hAnsi="仿宋" w:eastAsia="仿宋" w:cs="宋体"/>
          <w:sz w:val="28"/>
          <w:szCs w:val="28"/>
        </w:rPr>
        <w:t>1</w:t>
      </w:r>
      <w:r>
        <w:rPr>
          <w:rFonts w:hint="eastAsia" w:ascii="仿宋" w:hAnsi="仿宋" w:eastAsia="仿宋" w:cs="宋体"/>
          <w:sz w:val="28"/>
          <w:szCs w:val="28"/>
        </w:rPr>
        <w:t>月-202</w:t>
      </w:r>
      <w:r>
        <w:rPr>
          <w:rFonts w:ascii="仿宋" w:hAnsi="仿宋" w:eastAsia="仿宋" w:cs="宋体"/>
          <w:sz w:val="28"/>
          <w:szCs w:val="28"/>
        </w:rPr>
        <w:t>4</w:t>
      </w:r>
      <w:r>
        <w:rPr>
          <w:rFonts w:hint="eastAsia" w:ascii="仿宋" w:hAnsi="仿宋" w:eastAsia="仿宋" w:cs="宋体"/>
          <w:sz w:val="28"/>
          <w:szCs w:val="28"/>
        </w:rPr>
        <w:t>年12月的电力交易策略服务。合同截止2</w:t>
      </w:r>
      <w:r>
        <w:rPr>
          <w:rFonts w:ascii="仿宋" w:hAnsi="仿宋" w:eastAsia="仿宋" w:cs="宋体"/>
          <w:sz w:val="28"/>
          <w:szCs w:val="28"/>
        </w:rPr>
        <w:t>024</w:t>
      </w:r>
      <w:r>
        <w:rPr>
          <w:rFonts w:hint="eastAsia" w:ascii="仿宋" w:hAnsi="仿宋" w:eastAsia="仿宋" w:cs="宋体"/>
          <w:sz w:val="28"/>
          <w:szCs w:val="28"/>
        </w:rPr>
        <w:t>年1</w:t>
      </w:r>
      <w:r>
        <w:rPr>
          <w:rFonts w:ascii="仿宋" w:hAnsi="仿宋" w:eastAsia="仿宋" w:cs="宋体"/>
          <w:sz w:val="28"/>
          <w:szCs w:val="28"/>
        </w:rPr>
        <w:t>2</w:t>
      </w:r>
      <w:r>
        <w:rPr>
          <w:rFonts w:hint="eastAsia" w:ascii="仿宋" w:hAnsi="仿宋" w:eastAsia="仿宋" w:cs="宋体"/>
          <w:sz w:val="28"/>
          <w:szCs w:val="28"/>
        </w:rPr>
        <w:t>月3</w:t>
      </w:r>
      <w:r>
        <w:rPr>
          <w:rFonts w:ascii="仿宋" w:hAnsi="仿宋" w:eastAsia="仿宋" w:cs="宋体"/>
          <w:sz w:val="28"/>
          <w:szCs w:val="28"/>
        </w:rPr>
        <w:t>1</w:t>
      </w:r>
      <w:r>
        <w:rPr>
          <w:rFonts w:hint="eastAsia" w:ascii="仿宋" w:hAnsi="仿宋" w:eastAsia="仿宋" w:cs="宋体"/>
          <w:sz w:val="28"/>
          <w:szCs w:val="28"/>
        </w:rPr>
        <w:t>日。</w:t>
      </w:r>
    </w:p>
    <w:p>
      <w:pPr>
        <w:spacing w:line="560" w:lineRule="exact"/>
        <w:ind w:firstLine="560" w:firstLineChars="200"/>
        <w:rPr>
          <w:rFonts w:ascii="仿宋" w:hAnsi="仿宋" w:eastAsia="仿宋"/>
          <w:sz w:val="28"/>
          <w:szCs w:val="28"/>
        </w:rPr>
      </w:pPr>
      <w:r>
        <w:rPr>
          <w:rFonts w:hint="eastAsia" w:ascii="仿宋" w:hAnsi="仿宋" w:eastAsia="仿宋" w:cs="宋体"/>
          <w:sz w:val="28"/>
          <w:szCs w:val="28"/>
        </w:rPr>
        <w:t>2.本次报价不得超过采购预算价。</w:t>
      </w:r>
      <w:r>
        <w:rPr>
          <w:rFonts w:hint="eastAsia" w:ascii="仿宋" w:hAnsi="仿宋" w:eastAsia="仿宋"/>
          <w:sz w:val="28"/>
          <w:szCs w:val="28"/>
        </w:rPr>
        <w:t>中标价为固定总价，</w:t>
      </w:r>
      <w:r>
        <w:rPr>
          <w:rFonts w:ascii="仿宋" w:hAnsi="仿宋" w:eastAsia="仿宋"/>
          <w:sz w:val="28"/>
          <w:szCs w:val="28"/>
        </w:rPr>
        <w:t>报价应包含</w:t>
      </w:r>
      <w:r>
        <w:rPr>
          <w:rFonts w:hint="eastAsia" w:ascii="仿宋" w:hAnsi="仿宋" w:eastAsia="仿宋"/>
          <w:sz w:val="28"/>
          <w:szCs w:val="28"/>
        </w:rPr>
        <w:t>完成询价采购公告</w:t>
      </w:r>
      <w:r>
        <w:rPr>
          <w:rFonts w:ascii="仿宋" w:hAnsi="仿宋" w:eastAsia="仿宋"/>
          <w:sz w:val="28"/>
          <w:szCs w:val="28"/>
        </w:rPr>
        <w:t>所要求的</w:t>
      </w:r>
      <w:r>
        <w:rPr>
          <w:rFonts w:hint="eastAsia" w:ascii="仿宋" w:hAnsi="仿宋" w:eastAsia="仿宋"/>
          <w:sz w:val="28"/>
          <w:szCs w:val="28"/>
        </w:rPr>
        <w:t>工作内容的</w:t>
      </w:r>
      <w:r>
        <w:rPr>
          <w:rFonts w:ascii="仿宋" w:hAnsi="仿宋" w:eastAsia="仿宋"/>
          <w:sz w:val="28"/>
          <w:szCs w:val="28"/>
        </w:rPr>
        <w:t>所有费用。</w:t>
      </w:r>
    </w:p>
    <w:p>
      <w:pPr>
        <w:spacing w:line="560" w:lineRule="exact"/>
        <w:rPr>
          <w:rFonts w:ascii="仿宋" w:hAnsi="仿宋" w:eastAsia="仿宋" w:cs="仿宋"/>
          <w:sz w:val="28"/>
          <w:szCs w:val="28"/>
          <w:lang w:val="zh-CN"/>
        </w:rPr>
      </w:pPr>
    </w:p>
    <w:p>
      <w:pPr>
        <w:spacing w:line="560" w:lineRule="exact"/>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lang w:val="zh-CN"/>
        </w:rPr>
        <w:t xml:space="preserve">法定代表人（签字或盖章）：              </w:t>
      </w:r>
    </w:p>
    <w:p>
      <w:pPr>
        <w:spacing w:line="560" w:lineRule="exact"/>
        <w:rPr>
          <w:rFonts w:ascii="仿宋" w:hAnsi="仿宋" w:eastAsia="仿宋" w:cs="宋体"/>
          <w:sz w:val="28"/>
          <w:szCs w:val="28"/>
        </w:rPr>
      </w:pPr>
      <w:r>
        <w:rPr>
          <w:rFonts w:hint="eastAsia" w:ascii="仿宋" w:hAnsi="仿宋" w:eastAsia="仿宋" w:cs="仿宋"/>
          <w:sz w:val="28"/>
          <w:szCs w:val="28"/>
          <w:lang w:val="zh-CN"/>
        </w:rPr>
        <w:t>日期：</w:t>
      </w:r>
      <w:r>
        <w:rPr>
          <w:rFonts w:ascii="仿宋" w:hAnsi="仿宋" w:eastAsia="仿宋" w:cs="仿宋"/>
          <w:sz w:val="28"/>
          <w:szCs w:val="28"/>
        </w:rPr>
        <w:t xml:space="preserve">    </w:t>
      </w:r>
      <w:r>
        <w:rPr>
          <w:rFonts w:hint="eastAsia" w:ascii="仿宋" w:hAnsi="仿宋" w:eastAsia="仿宋" w:cs="宋体"/>
          <w:sz w:val="28"/>
          <w:szCs w:val="28"/>
        </w:rPr>
        <w:t xml:space="preserve">年   月   </w:t>
      </w:r>
      <w:r>
        <w:rPr>
          <w:rFonts w:ascii="仿宋" w:hAnsi="仿宋" w:eastAsia="仿宋" w:cs="宋体"/>
          <w:sz w:val="28"/>
          <w:szCs w:val="28"/>
        </w:rPr>
        <w:t xml:space="preserve"> </w:t>
      </w:r>
      <w:r>
        <w:rPr>
          <w:rFonts w:hint="eastAsia" w:ascii="仿宋" w:hAnsi="仿宋" w:eastAsia="仿宋" w:cs="宋体"/>
          <w:sz w:val="28"/>
          <w:szCs w:val="28"/>
        </w:rPr>
        <w:t>日</w:t>
      </w:r>
    </w:p>
    <w:p>
      <w:pPr>
        <w:pStyle w:val="6"/>
        <w:spacing w:line="560" w:lineRule="exact"/>
      </w:pPr>
      <w:r>
        <w:br w:type="page"/>
      </w:r>
    </w:p>
    <w:p>
      <w:pPr>
        <w:keepNext/>
        <w:spacing w:line="560" w:lineRule="exact"/>
        <w:jc w:val="left"/>
        <w:outlineLvl w:val="1"/>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 xml:space="preserve">收件人：青岛城投新能源集团有限公司                          </w:t>
            </w:r>
          </w:p>
          <w:p>
            <w:pPr>
              <w:spacing w:line="560" w:lineRule="exact"/>
              <w:rPr>
                <w:rFonts w:ascii="仿宋" w:hAnsi="仿宋" w:eastAsia="仿宋" w:cs="仿宋"/>
                <w:bCs/>
                <w:sz w:val="28"/>
                <w:szCs w:val="28"/>
                <w:lang w:val="zh-CN"/>
              </w:rPr>
            </w:pPr>
            <w:r>
              <w:rPr>
                <w:rFonts w:hint="eastAsia" w:ascii="仿宋" w:hAnsi="仿宋" w:eastAsia="仿宋" w:cs="仿宋"/>
                <w:sz w:val="28"/>
                <w:szCs w:val="28"/>
              </w:rPr>
              <w:t>项目名称：蒙西蒙西二座电站电力交易策略服务</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w:t>
            </w:r>
            <w:r>
              <w:rPr>
                <w:rFonts w:hint="eastAsia" w:ascii="仿宋" w:hAnsi="仿宋" w:eastAsia="仿宋" w:cs="仿宋"/>
                <w:sz w:val="28"/>
                <w:szCs w:val="28"/>
              </w:rPr>
              <w:t xml:space="preserve">  月  </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ascii="仿宋" w:hAnsi="仿宋" w:eastAsia="仿宋" w:cs="仿宋"/>
                <w:sz w:val="28"/>
                <w:szCs w:val="28"/>
              </w:rPr>
              <w:t>12</w:t>
            </w:r>
            <w:r>
              <w:rPr>
                <w:rFonts w:hint="eastAsia" w:ascii="仿宋" w:hAnsi="仿宋" w:eastAsia="仿宋" w:cs="仿宋"/>
                <w:sz w:val="28"/>
                <w:szCs w:val="28"/>
              </w:rPr>
              <w:t>月</w:t>
            </w:r>
            <w:r>
              <w:rPr>
                <w:rFonts w:ascii="仿宋" w:hAnsi="仿宋" w:eastAsia="仿宋" w:cs="仿宋"/>
                <w:sz w:val="28"/>
                <w:szCs w:val="28"/>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17</w:t>
            </w:r>
            <w:r>
              <w:rPr>
                <w:rFonts w:hint="eastAsia" w:ascii="仿宋" w:hAnsi="仿宋" w:eastAsia="仿宋" w:cs="仿宋"/>
                <w:sz w:val="28"/>
                <w:szCs w:val="28"/>
              </w:rPr>
              <w:t>时</w:t>
            </w:r>
            <w:r>
              <w:rPr>
                <w:rFonts w:ascii="仿宋" w:hAnsi="仿宋" w:eastAsia="仿宋" w:cs="仿宋"/>
                <w:sz w:val="28"/>
                <w:szCs w:val="28"/>
              </w:rPr>
              <w:t xml:space="preserve"> 00</w:t>
            </w:r>
            <w:r>
              <w:rPr>
                <w:rFonts w:hint="eastAsia" w:ascii="仿宋" w:hAnsi="仿宋" w:eastAsia="仿宋" w:cs="仿宋"/>
                <w:sz w:val="28"/>
                <w:szCs w:val="28"/>
              </w:rPr>
              <w:t>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- 6 -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- 6 -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 w:name="KSO_WPS_MARK_KEY" w:val="12c40b5b-d99c-41f9-bc26-ceb238630623"/>
  </w:docVars>
  <w:rsids>
    <w:rsidRoot w:val="00E2040B"/>
    <w:rsid w:val="0000615E"/>
    <w:rsid w:val="000229DA"/>
    <w:rsid w:val="00036FE8"/>
    <w:rsid w:val="00055AA5"/>
    <w:rsid w:val="000B797B"/>
    <w:rsid w:val="00190A9B"/>
    <w:rsid w:val="001A2B73"/>
    <w:rsid w:val="002C6D4A"/>
    <w:rsid w:val="00301F16"/>
    <w:rsid w:val="0034683D"/>
    <w:rsid w:val="003E13AA"/>
    <w:rsid w:val="004A1FDE"/>
    <w:rsid w:val="004D01F5"/>
    <w:rsid w:val="004E3EBE"/>
    <w:rsid w:val="00513974"/>
    <w:rsid w:val="00525D21"/>
    <w:rsid w:val="00634090"/>
    <w:rsid w:val="006A70AB"/>
    <w:rsid w:val="00737EFC"/>
    <w:rsid w:val="0077629C"/>
    <w:rsid w:val="00797BEA"/>
    <w:rsid w:val="00872DCC"/>
    <w:rsid w:val="0087377D"/>
    <w:rsid w:val="00874E1E"/>
    <w:rsid w:val="00876EE0"/>
    <w:rsid w:val="00893483"/>
    <w:rsid w:val="008A7C17"/>
    <w:rsid w:val="008B6F64"/>
    <w:rsid w:val="00920C88"/>
    <w:rsid w:val="009922F5"/>
    <w:rsid w:val="00A062E9"/>
    <w:rsid w:val="00A2288A"/>
    <w:rsid w:val="00A23515"/>
    <w:rsid w:val="00A47299"/>
    <w:rsid w:val="00A62DBF"/>
    <w:rsid w:val="00A979B9"/>
    <w:rsid w:val="00AD1E67"/>
    <w:rsid w:val="00B50B69"/>
    <w:rsid w:val="00B860E8"/>
    <w:rsid w:val="00B933D4"/>
    <w:rsid w:val="00C26448"/>
    <w:rsid w:val="00C532ED"/>
    <w:rsid w:val="00CC0589"/>
    <w:rsid w:val="00D47573"/>
    <w:rsid w:val="00D66C69"/>
    <w:rsid w:val="00DD0197"/>
    <w:rsid w:val="00DD62B1"/>
    <w:rsid w:val="00DF6AF8"/>
    <w:rsid w:val="00E2040B"/>
    <w:rsid w:val="00E53811"/>
    <w:rsid w:val="00EC02C3"/>
    <w:rsid w:val="00ED54A9"/>
    <w:rsid w:val="00F2382B"/>
    <w:rsid w:val="00F4659A"/>
    <w:rsid w:val="00FA1451"/>
    <w:rsid w:val="01EF54AB"/>
    <w:rsid w:val="02F122EA"/>
    <w:rsid w:val="02F50891"/>
    <w:rsid w:val="04441A51"/>
    <w:rsid w:val="05FB2952"/>
    <w:rsid w:val="06C220FB"/>
    <w:rsid w:val="06C22953"/>
    <w:rsid w:val="074A31ED"/>
    <w:rsid w:val="0808440F"/>
    <w:rsid w:val="083743BA"/>
    <w:rsid w:val="096E38B1"/>
    <w:rsid w:val="0A1232CA"/>
    <w:rsid w:val="0A911527"/>
    <w:rsid w:val="0AA753AD"/>
    <w:rsid w:val="0B9A59B0"/>
    <w:rsid w:val="0BD424B4"/>
    <w:rsid w:val="0C8E73B3"/>
    <w:rsid w:val="0DE66280"/>
    <w:rsid w:val="0E1F1C94"/>
    <w:rsid w:val="0E712916"/>
    <w:rsid w:val="0F4F7AE6"/>
    <w:rsid w:val="0FB6788B"/>
    <w:rsid w:val="11621A79"/>
    <w:rsid w:val="118714DF"/>
    <w:rsid w:val="11B45510"/>
    <w:rsid w:val="12153087"/>
    <w:rsid w:val="13D00ECB"/>
    <w:rsid w:val="145171F5"/>
    <w:rsid w:val="14D00CD8"/>
    <w:rsid w:val="14DC1398"/>
    <w:rsid w:val="14EA0703"/>
    <w:rsid w:val="153810A6"/>
    <w:rsid w:val="15AE7982"/>
    <w:rsid w:val="16623CE5"/>
    <w:rsid w:val="17143815"/>
    <w:rsid w:val="18185587"/>
    <w:rsid w:val="18D82BC9"/>
    <w:rsid w:val="19A70543"/>
    <w:rsid w:val="1A206975"/>
    <w:rsid w:val="1A5A7DBE"/>
    <w:rsid w:val="1B3C2315"/>
    <w:rsid w:val="1B51353B"/>
    <w:rsid w:val="1B75684C"/>
    <w:rsid w:val="1BCE3F88"/>
    <w:rsid w:val="1C41285B"/>
    <w:rsid w:val="1C860706"/>
    <w:rsid w:val="1EE2069D"/>
    <w:rsid w:val="1F512260"/>
    <w:rsid w:val="20A70C6A"/>
    <w:rsid w:val="21E40288"/>
    <w:rsid w:val="22F67DB8"/>
    <w:rsid w:val="23235A37"/>
    <w:rsid w:val="233233FB"/>
    <w:rsid w:val="23A45408"/>
    <w:rsid w:val="249D02C3"/>
    <w:rsid w:val="24FB4266"/>
    <w:rsid w:val="252E63EA"/>
    <w:rsid w:val="25721D98"/>
    <w:rsid w:val="257B29CE"/>
    <w:rsid w:val="25E40BED"/>
    <w:rsid w:val="25EA3168"/>
    <w:rsid w:val="25FE588E"/>
    <w:rsid w:val="26016FCC"/>
    <w:rsid w:val="26473BB2"/>
    <w:rsid w:val="270648D9"/>
    <w:rsid w:val="27596A53"/>
    <w:rsid w:val="27E51136"/>
    <w:rsid w:val="2B9109BA"/>
    <w:rsid w:val="2C04043B"/>
    <w:rsid w:val="2C142F0A"/>
    <w:rsid w:val="2CD21D51"/>
    <w:rsid w:val="2CD90587"/>
    <w:rsid w:val="2D1C4D7A"/>
    <w:rsid w:val="2D326CFE"/>
    <w:rsid w:val="2D705594"/>
    <w:rsid w:val="2FB614B6"/>
    <w:rsid w:val="2FBA4EB3"/>
    <w:rsid w:val="304A7749"/>
    <w:rsid w:val="32CA27B8"/>
    <w:rsid w:val="35923D41"/>
    <w:rsid w:val="36723C5D"/>
    <w:rsid w:val="3AE51C27"/>
    <w:rsid w:val="3BF82E56"/>
    <w:rsid w:val="3DBA32F9"/>
    <w:rsid w:val="3DD516A1"/>
    <w:rsid w:val="3DEB5A72"/>
    <w:rsid w:val="3E1B53DB"/>
    <w:rsid w:val="3F082A44"/>
    <w:rsid w:val="405A5E8D"/>
    <w:rsid w:val="40F053F7"/>
    <w:rsid w:val="413F68D3"/>
    <w:rsid w:val="41850CE8"/>
    <w:rsid w:val="41866A06"/>
    <w:rsid w:val="419148D5"/>
    <w:rsid w:val="41A575DC"/>
    <w:rsid w:val="426E275B"/>
    <w:rsid w:val="42DE5A1A"/>
    <w:rsid w:val="432940F5"/>
    <w:rsid w:val="43D75B1D"/>
    <w:rsid w:val="43FE4D82"/>
    <w:rsid w:val="441107DA"/>
    <w:rsid w:val="45102C21"/>
    <w:rsid w:val="459B4C1B"/>
    <w:rsid w:val="45EA61D6"/>
    <w:rsid w:val="46144D30"/>
    <w:rsid w:val="48512CD9"/>
    <w:rsid w:val="48E22860"/>
    <w:rsid w:val="49155047"/>
    <w:rsid w:val="493D6200"/>
    <w:rsid w:val="4A4A2365"/>
    <w:rsid w:val="4CB84667"/>
    <w:rsid w:val="4CC36B68"/>
    <w:rsid w:val="4E8642F1"/>
    <w:rsid w:val="4FCD497A"/>
    <w:rsid w:val="501439CE"/>
    <w:rsid w:val="50E9119B"/>
    <w:rsid w:val="5147188D"/>
    <w:rsid w:val="51937451"/>
    <w:rsid w:val="52514944"/>
    <w:rsid w:val="52A665A4"/>
    <w:rsid w:val="541F34A2"/>
    <w:rsid w:val="547D4D93"/>
    <w:rsid w:val="56426CE9"/>
    <w:rsid w:val="565A3699"/>
    <w:rsid w:val="5704603C"/>
    <w:rsid w:val="574459CB"/>
    <w:rsid w:val="57956E41"/>
    <w:rsid w:val="57E74053"/>
    <w:rsid w:val="589A00E8"/>
    <w:rsid w:val="597E6F6D"/>
    <w:rsid w:val="5B350E01"/>
    <w:rsid w:val="5B5079A2"/>
    <w:rsid w:val="5BDF4DED"/>
    <w:rsid w:val="5CA35C02"/>
    <w:rsid w:val="5D0E2082"/>
    <w:rsid w:val="5D715329"/>
    <w:rsid w:val="5E0C5908"/>
    <w:rsid w:val="5E164B4E"/>
    <w:rsid w:val="5E7718F3"/>
    <w:rsid w:val="5FE914C9"/>
    <w:rsid w:val="607D37A6"/>
    <w:rsid w:val="6232236E"/>
    <w:rsid w:val="63CB7FA5"/>
    <w:rsid w:val="642E7722"/>
    <w:rsid w:val="645F59C0"/>
    <w:rsid w:val="6461518D"/>
    <w:rsid w:val="64BA798D"/>
    <w:rsid w:val="660A5518"/>
    <w:rsid w:val="66E73B5F"/>
    <w:rsid w:val="67C12384"/>
    <w:rsid w:val="68297D70"/>
    <w:rsid w:val="68AA3771"/>
    <w:rsid w:val="68AD5110"/>
    <w:rsid w:val="690069D6"/>
    <w:rsid w:val="691E26C3"/>
    <w:rsid w:val="6A0532EC"/>
    <w:rsid w:val="6A6E5F0E"/>
    <w:rsid w:val="6A8B38E0"/>
    <w:rsid w:val="6AAD4FED"/>
    <w:rsid w:val="6AAD6A36"/>
    <w:rsid w:val="6ACC7244"/>
    <w:rsid w:val="6B3D182E"/>
    <w:rsid w:val="6B4157C0"/>
    <w:rsid w:val="6C411CED"/>
    <w:rsid w:val="6DC31233"/>
    <w:rsid w:val="6E8E5E7E"/>
    <w:rsid w:val="6F9A3F42"/>
    <w:rsid w:val="707D6EAA"/>
    <w:rsid w:val="708055A9"/>
    <w:rsid w:val="715E6E6B"/>
    <w:rsid w:val="726E6A2B"/>
    <w:rsid w:val="735B0D64"/>
    <w:rsid w:val="737364B4"/>
    <w:rsid w:val="75C3295E"/>
    <w:rsid w:val="76530DD9"/>
    <w:rsid w:val="765A754C"/>
    <w:rsid w:val="76DC4B23"/>
    <w:rsid w:val="76FE2BAD"/>
    <w:rsid w:val="770F24F8"/>
    <w:rsid w:val="771F2A69"/>
    <w:rsid w:val="77E15F71"/>
    <w:rsid w:val="78D930EC"/>
    <w:rsid w:val="793D5D03"/>
    <w:rsid w:val="79404F19"/>
    <w:rsid w:val="7A5A200A"/>
    <w:rsid w:val="7B013CD4"/>
    <w:rsid w:val="7BA76D59"/>
    <w:rsid w:val="7E2D6A5C"/>
    <w:rsid w:val="7E8F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paragraph" w:styleId="2">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1"/>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6"/>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nhideWhenUsed/>
    <w:qFormat/>
    <w:uiPriority w:val="0"/>
  </w:style>
  <w:style w:type="character" w:styleId="15">
    <w:name w:val="Hyperlink"/>
    <w:basedOn w:val="13"/>
    <w:semiHidden/>
    <w:unhideWhenUsed/>
    <w:qFormat/>
    <w:uiPriority w:val="99"/>
    <w:rPr>
      <w:color w:val="0000FF"/>
      <w:u w:val="single"/>
    </w:rPr>
  </w:style>
  <w:style w:type="character" w:styleId="16">
    <w:name w:val="annotation reference"/>
    <w:basedOn w:val="13"/>
    <w:unhideWhenUsed/>
    <w:qFormat/>
    <w:uiPriority w:val="99"/>
    <w:rPr>
      <w:sz w:val="21"/>
      <w:szCs w:val="21"/>
    </w:rPr>
  </w:style>
  <w:style w:type="character" w:customStyle="1" w:styleId="17">
    <w:name w:val="页眉 字符"/>
    <w:link w:val="9"/>
    <w:qFormat/>
    <w:locked/>
    <w:uiPriority w:val="0"/>
    <w:rPr>
      <w:rFonts w:cs="Times New Roman"/>
      <w:sz w:val="18"/>
      <w:szCs w:val="18"/>
    </w:rPr>
  </w:style>
  <w:style w:type="character" w:customStyle="1" w:styleId="18">
    <w:name w:val="页脚 字符"/>
    <w:link w:val="8"/>
    <w:qFormat/>
    <w:locked/>
    <w:uiPriority w:val="99"/>
    <w:rPr>
      <w:rFonts w:cs="Times New Roman"/>
      <w:sz w:val="18"/>
      <w:szCs w:val="18"/>
    </w:rPr>
  </w:style>
  <w:style w:type="character" w:customStyle="1" w:styleId="19">
    <w:name w:val="页眉 Char1"/>
    <w:basedOn w:val="13"/>
    <w:semiHidden/>
    <w:qFormat/>
    <w:uiPriority w:val="99"/>
    <w:rPr>
      <w:rFonts w:ascii="Calibri" w:hAnsi="Calibri" w:eastAsia="宋体" w:cs="Calibri"/>
      <w:sz w:val="18"/>
      <w:szCs w:val="18"/>
    </w:rPr>
  </w:style>
  <w:style w:type="character" w:customStyle="1" w:styleId="20">
    <w:name w:val="页脚 Char1"/>
    <w:basedOn w:val="13"/>
    <w:semiHidden/>
    <w:qFormat/>
    <w:uiPriority w:val="99"/>
    <w:rPr>
      <w:rFonts w:ascii="Calibri" w:hAnsi="Calibri" w:eastAsia="宋体" w:cs="Calibri"/>
      <w:sz w:val="18"/>
      <w:szCs w:val="18"/>
    </w:rPr>
  </w:style>
  <w:style w:type="character" w:customStyle="1" w:styleId="21">
    <w:name w:val="批注框文本 字符"/>
    <w:basedOn w:val="13"/>
    <w:link w:val="7"/>
    <w:semiHidden/>
    <w:qFormat/>
    <w:uiPriority w:val="99"/>
    <w:rPr>
      <w:rFonts w:ascii="Calibri" w:hAnsi="Calibri" w:eastAsia="宋体" w:cs="Calibri"/>
      <w:sz w:val="18"/>
      <w:szCs w:val="18"/>
    </w:rPr>
  </w:style>
  <w:style w:type="paragraph" w:customStyle="1" w:styleId="22">
    <w:name w:val="列表段落1"/>
    <w:basedOn w:val="1"/>
    <w:qFormat/>
    <w:uiPriority w:val="34"/>
    <w:pPr>
      <w:ind w:firstLine="420" w:firstLineChars="200"/>
    </w:pPr>
  </w:style>
  <w:style w:type="character" w:customStyle="1" w:styleId="23">
    <w:name w:val="样式 仿宋"/>
    <w:qFormat/>
    <w:uiPriority w:val="0"/>
    <w:rPr>
      <w:rFonts w:ascii="仿宋" w:hAnsi="仿宋" w:eastAsia="仿宋"/>
      <w:kern w:val="1"/>
    </w:rPr>
  </w:style>
  <w:style w:type="paragraph" w:customStyle="1" w:styleId="24">
    <w:name w:val="修订1"/>
    <w:hidden/>
    <w:semiHidden/>
    <w:qFormat/>
    <w:uiPriority w:val="99"/>
    <w:rPr>
      <w:rFonts w:ascii="Calibri" w:hAnsi="Calibri" w:eastAsia="宋体" w:cs="Calibri"/>
      <w:kern w:val="2"/>
      <w:sz w:val="21"/>
      <w:szCs w:val="22"/>
      <w:lang w:val="en-US" w:eastAsia="zh-CN" w:bidi="ar-SA"/>
    </w:rPr>
  </w:style>
  <w:style w:type="character" w:customStyle="1" w:styleId="25">
    <w:name w:val="批注文字 字符"/>
    <w:basedOn w:val="13"/>
    <w:link w:val="5"/>
    <w:semiHidden/>
    <w:qFormat/>
    <w:uiPriority w:val="99"/>
    <w:rPr>
      <w:rFonts w:ascii="Calibri" w:hAnsi="Calibri" w:cs="Calibri"/>
      <w:kern w:val="2"/>
      <w:sz w:val="21"/>
      <w:szCs w:val="22"/>
    </w:rPr>
  </w:style>
  <w:style w:type="character" w:customStyle="1" w:styleId="26">
    <w:name w:val="批注主题 字符"/>
    <w:basedOn w:val="25"/>
    <w:link w:val="10"/>
    <w:semiHidden/>
    <w:qFormat/>
    <w:uiPriority w:val="99"/>
    <w:rPr>
      <w:rFonts w:ascii="Calibri" w:hAnsi="Calibri" w:cs="Calibri"/>
      <w:b/>
      <w:bCs/>
      <w:kern w:val="2"/>
      <w:sz w:val="21"/>
      <w:szCs w:val="22"/>
    </w:rPr>
  </w:style>
  <w:style w:type="paragraph" w:customStyle="1" w:styleId="27">
    <w:name w:val="修订2"/>
    <w:hidden/>
    <w:semiHidden/>
    <w:qFormat/>
    <w:uiPriority w:val="99"/>
    <w:rPr>
      <w:rFonts w:ascii="Calibri" w:hAnsi="Calibri" w:eastAsia="宋体" w:cs="Calibri"/>
      <w:kern w:val="2"/>
      <w:sz w:val="21"/>
      <w:szCs w:val="22"/>
      <w:lang w:val="en-US" w:eastAsia="zh-CN" w:bidi="ar-SA"/>
    </w:rPr>
  </w:style>
  <w:style w:type="paragraph" w:customStyle="1" w:styleId="28">
    <w:name w:val="修订3"/>
    <w:hidden/>
    <w:semiHidden/>
    <w:qFormat/>
    <w:uiPriority w:val="99"/>
    <w:rPr>
      <w:rFonts w:ascii="Calibri" w:hAnsi="Calibri" w:eastAsia="宋体" w:cs="Calibri"/>
      <w:kern w:val="2"/>
      <w:sz w:val="21"/>
      <w:szCs w:val="22"/>
      <w:lang w:val="en-US" w:eastAsia="zh-CN" w:bidi="ar-SA"/>
    </w:rPr>
  </w:style>
  <w:style w:type="paragraph" w:customStyle="1" w:styleId="29">
    <w:name w:val="修订4"/>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398</Words>
  <Characters>2273</Characters>
  <Lines>18</Lines>
  <Paragraphs>5</Paragraphs>
  <TotalTime>0</TotalTime>
  <ScaleCrop>false</ScaleCrop>
  <LinksUpToDate>false</LinksUpToDate>
  <CharactersWithSpaces>2666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2023-12-20T06:31:00Z</dcterms:created>
  <dc:creator>andy</dc:creator>
  <cp:lastModifiedBy>sky</cp:lastModifiedBy>
  <cp:lastPrinted>2023-04-04T01:09:00Z</cp:lastPrinted>
  <dcterms:modified xsi:type="dcterms:W3CDTF">2023-12-25T07:48:02Z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9038305110724A13B06BFB02975E52C1</vt:lpwstr>
  </property>
</Properties>
</file>