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360"/>
        <w:jc w:val="center"/>
        <w:outlineLvl w:val="0"/>
        <w:rPr>
          <w:rFonts w:hint="eastAsia" w:ascii="方正小标宋_GBK" w:hAnsi="宋体" w:eastAsia="方正小标宋_GBK"/>
          <w:bCs/>
          <w:sz w:val="44"/>
          <w:szCs w:val="44"/>
        </w:rPr>
      </w:pPr>
      <w:r>
        <w:rPr>
          <w:rFonts w:hint="eastAsia" w:ascii="方正小标宋_GBK" w:hAnsi="宋体" w:eastAsia="方正小标宋_GBK"/>
          <w:bCs/>
          <w:sz w:val="44"/>
          <w:szCs w:val="44"/>
        </w:rPr>
        <w:t>光伏项目资产并购财务顾问服务</w:t>
      </w:r>
    </w:p>
    <w:p>
      <w:pPr>
        <w:widowControl/>
        <w:ind w:left="360"/>
        <w:jc w:val="center"/>
        <w:outlineLvl w:val="0"/>
        <w:rPr>
          <w:rFonts w:hint="eastAsia" w:ascii="方正小标宋_GBK" w:hAnsi="宋体" w:eastAsia="方正小标宋_GBK"/>
          <w:bCs/>
          <w:sz w:val="44"/>
          <w:szCs w:val="44"/>
        </w:rPr>
      </w:pPr>
      <w:r>
        <w:rPr>
          <w:rFonts w:hint="eastAsia" w:ascii="方正小标宋_GBK" w:hAnsi="宋体" w:eastAsia="方正小标宋_GBK"/>
          <w:bCs/>
          <w:sz w:val="44"/>
          <w:szCs w:val="44"/>
        </w:rPr>
        <w:t>询价采购公告</w:t>
      </w:r>
    </w:p>
    <w:p>
      <w:pPr>
        <w:spacing w:line="560" w:lineRule="exact"/>
        <w:rPr>
          <w:rFonts w:ascii="仿宋" w:hAnsi="仿宋" w:eastAsia="仿宋" w:cs="仿宋"/>
        </w:rPr>
      </w:pPr>
    </w:p>
    <w:p>
      <w:pPr>
        <w:spacing w:line="560" w:lineRule="exact"/>
        <w:ind w:firstLine="640" w:firstLineChars="200"/>
        <w:outlineLvl w:val="0"/>
        <w:rPr>
          <w:rFonts w:ascii="黑体" w:hAnsi="黑体" w:eastAsia="黑体" w:cs="仿宋"/>
        </w:rPr>
      </w:pPr>
      <w:r>
        <w:rPr>
          <w:rFonts w:hint="eastAsia" w:ascii="黑体" w:hAnsi="黑体" w:eastAsia="黑体" w:cs="仿宋"/>
        </w:rPr>
        <w:t>一、项目基本情况</w:t>
      </w:r>
    </w:p>
    <w:p>
      <w:pPr>
        <w:spacing w:line="560" w:lineRule="exact"/>
        <w:ind w:firstLine="640" w:firstLineChars="200"/>
        <w:rPr>
          <w:rFonts w:ascii="仿宋_GB2312" w:hAnsi="仿宋_GB2312" w:cs="仿宋_GB2312"/>
          <w:highlight w:val="yellow"/>
        </w:rPr>
      </w:pPr>
      <w:r>
        <w:rPr>
          <w:rFonts w:hint="eastAsia" w:ascii="仿宋_GB2312" w:hAnsi="仿宋_GB2312" w:cs="仿宋_GB2312"/>
        </w:rPr>
        <w:t>1.采购单位：青岛城投新能源</w:t>
      </w:r>
      <w:r>
        <w:rPr>
          <w:rFonts w:hint="eastAsia" w:ascii="仿宋_GB2312" w:hAnsi="仿宋_GB2312" w:cs="仿宋_GB2312"/>
          <w:lang w:eastAsia="zh-Hans"/>
        </w:rPr>
        <w:t>投资</w:t>
      </w:r>
      <w:r>
        <w:rPr>
          <w:rFonts w:hint="eastAsia" w:ascii="仿宋_GB2312" w:hAnsi="仿宋_GB2312" w:cs="仿宋_GB2312"/>
        </w:rPr>
        <w:t>有限公司</w:t>
      </w:r>
    </w:p>
    <w:p>
      <w:pPr>
        <w:spacing w:line="560" w:lineRule="exact"/>
        <w:ind w:firstLine="640" w:firstLineChars="200"/>
        <w:rPr>
          <w:rFonts w:ascii="仿宋_GB2312" w:hAnsi="仿宋_GB2312" w:cs="仿宋_GB2312"/>
        </w:rPr>
      </w:pPr>
      <w:r>
        <w:rPr>
          <w:rFonts w:hint="eastAsia" w:ascii="仿宋_GB2312" w:hAnsi="仿宋_GB2312" w:cs="仿宋_GB2312"/>
        </w:rPr>
        <w:t>2.服务名称：</w:t>
      </w:r>
      <w:bookmarkStart w:id="0" w:name="_Hlk115770729"/>
      <w:r>
        <w:rPr>
          <w:rFonts w:hint="eastAsia" w:ascii="仿宋_GB2312" w:hAnsi="仿宋_GB2312" w:cs="仿宋_GB2312"/>
        </w:rPr>
        <w:t>光伏项目资产并购财务顾问服务</w:t>
      </w:r>
    </w:p>
    <w:bookmarkEnd w:id="0"/>
    <w:p>
      <w:pPr>
        <w:spacing w:line="560" w:lineRule="exact"/>
        <w:ind w:firstLine="640" w:firstLineChars="200"/>
        <w:rPr>
          <w:rFonts w:ascii="仿宋_GB2312" w:hAnsi="仿宋_GB2312" w:cs="仿宋_GB2312"/>
        </w:rPr>
      </w:pPr>
      <w:r>
        <w:rPr>
          <w:rFonts w:hint="eastAsia" w:ascii="仿宋_GB2312" w:hAnsi="仿宋_GB2312" w:cs="仿宋_GB2312"/>
        </w:rPr>
        <w:t>3.项目概况：</w:t>
      </w:r>
    </w:p>
    <w:p>
      <w:pPr>
        <w:spacing w:line="560" w:lineRule="exact"/>
        <w:ind w:firstLine="640" w:firstLineChars="200"/>
        <w:rPr>
          <w:rFonts w:ascii="仿宋_GB2312" w:hAnsi="仿宋_GB2312" w:cs="仿宋_GB2312"/>
        </w:rPr>
      </w:pPr>
      <w:r>
        <w:rPr>
          <w:rFonts w:hint="eastAsia" w:ascii="仿宋_GB2312" w:hAnsi="仿宋_GB2312" w:cs="仿宋_GB2312"/>
        </w:rPr>
        <w:t>交易标的：交易标的为国内共计5个项目公司的100%股权，该批项目公司对应的项目</w:t>
      </w:r>
      <w:r>
        <w:rPr>
          <w:rFonts w:hint="eastAsia" w:ascii="仿宋_GB2312" w:hAnsi="仿宋_GB2312" w:cs="仿宋_GB2312"/>
          <w:lang w:eastAsia="zh-Hans"/>
        </w:rPr>
        <w:t>为</w:t>
      </w:r>
      <w:r>
        <w:rPr>
          <w:rFonts w:hint="eastAsia" w:ascii="仿宋_GB2312" w:hAnsi="仿宋_GB2312" w:cs="仿宋_GB2312"/>
        </w:rPr>
        <w:t>位于山东省的5个共144MW集中式光伏项目，以上项目均于2014年至2015年期间完成并网投产。该批项目合并口径总资产约16亿元。</w:t>
      </w:r>
    </w:p>
    <w:p>
      <w:pPr>
        <w:spacing w:line="560" w:lineRule="exact"/>
        <w:ind w:firstLine="640" w:firstLineChars="200"/>
        <w:rPr>
          <w:rFonts w:ascii="仿宋_GB2312" w:hAnsi="仿宋_GB2312" w:cs="仿宋_GB2312"/>
        </w:rPr>
      </w:pPr>
      <w:r>
        <w:rPr>
          <w:rFonts w:hint="eastAsia" w:ascii="仿宋_GB2312" w:hAnsi="仿宋_GB2312" w:cs="仿宋_GB2312"/>
        </w:rPr>
        <w:t>交易进度及主要步骤：截至目前交易双方已明确交易意向，并就交易价格及付款方式主要交易条件达成初步共识。双方计划尽快完成尽职调查等相关工作，完成本次交易。</w:t>
      </w:r>
    </w:p>
    <w:p>
      <w:pPr>
        <w:spacing w:line="560" w:lineRule="exact"/>
        <w:ind w:firstLine="640" w:firstLineChars="200"/>
        <w:rPr>
          <w:rFonts w:ascii="仿宋_GB2312" w:hAnsi="仿宋_GB2312" w:cs="仿宋_GB2312"/>
        </w:rPr>
      </w:pPr>
      <w:r>
        <w:rPr>
          <w:rFonts w:hint="eastAsia" w:ascii="仿宋_GB2312" w:hAnsi="仿宋_GB2312" w:cs="仿宋_GB2312"/>
        </w:rPr>
        <w:t>4.服务期限：自合同签订日起至项目交易完成，具体以采购单位通知为准。</w:t>
      </w:r>
    </w:p>
    <w:p>
      <w:pPr>
        <w:spacing w:line="560" w:lineRule="exact"/>
        <w:ind w:firstLine="640" w:firstLineChars="200"/>
        <w:rPr>
          <w:rFonts w:ascii="仿宋_GB2312" w:hAnsi="仿宋_GB2312" w:cs="仿宋_GB2312"/>
        </w:rPr>
      </w:pPr>
      <w:r>
        <w:rPr>
          <w:rFonts w:hint="eastAsia" w:ascii="仿宋_GB2312" w:hAnsi="仿宋_GB2312" w:cs="仿宋_GB2312"/>
        </w:rPr>
        <w:t>5.服务地点：交易双方及各项目所在地。</w:t>
      </w:r>
    </w:p>
    <w:p>
      <w:pPr>
        <w:spacing w:line="560" w:lineRule="exact"/>
        <w:ind w:firstLine="640" w:firstLineChars="200"/>
        <w:rPr>
          <w:rFonts w:ascii="仿宋_GB2312" w:hAnsi="仿宋_GB2312" w:cs="仿宋_GB2312"/>
        </w:rPr>
      </w:pPr>
      <w:r>
        <w:rPr>
          <w:rFonts w:hint="eastAsia" w:ascii="仿宋_GB2312" w:hAnsi="仿宋_GB2312" w:cs="仿宋_GB2312"/>
        </w:rPr>
        <w:t>6.采购预算：4</w:t>
      </w:r>
      <w:r>
        <w:rPr>
          <w:rFonts w:hint="eastAsia" w:ascii="仿宋_GB2312" w:hAnsi="仿宋_GB2312" w:cs="仿宋_GB2312"/>
          <w:lang w:val="en-US" w:eastAsia="zh-CN"/>
        </w:rPr>
        <w:t>8</w:t>
      </w:r>
      <w:r>
        <w:rPr>
          <w:rFonts w:hint="eastAsia" w:ascii="仿宋_GB2312" w:hAnsi="仿宋_GB2312" w:cs="仿宋_GB2312"/>
        </w:rPr>
        <w:t>万元。</w:t>
      </w:r>
    </w:p>
    <w:p>
      <w:pPr>
        <w:spacing w:line="560" w:lineRule="exact"/>
        <w:ind w:firstLine="640" w:firstLineChars="200"/>
        <w:outlineLvl w:val="0"/>
        <w:rPr>
          <w:rFonts w:ascii="仿宋" w:hAnsi="仿宋" w:eastAsia="仿宋" w:cs="仿宋"/>
          <w:b/>
          <w:bCs/>
        </w:rPr>
      </w:pPr>
      <w:r>
        <w:rPr>
          <w:rFonts w:hint="eastAsia" w:ascii="黑体" w:hAnsi="黑体" w:eastAsia="黑体" w:cs="仿宋"/>
        </w:rPr>
        <w:t>二、报价单位资格要求</w:t>
      </w:r>
    </w:p>
    <w:p>
      <w:pPr>
        <w:spacing w:line="560" w:lineRule="exact"/>
        <w:ind w:firstLine="640" w:firstLineChars="200"/>
        <w:rPr>
          <w:rFonts w:ascii="仿宋_GB2312" w:hAnsi="仿宋_GB2312" w:cs="仿宋_GB2312"/>
        </w:rPr>
      </w:pPr>
      <w:r>
        <w:rPr>
          <w:rFonts w:hint="eastAsia" w:ascii="仿宋_GB2312" w:hAnsi="仿宋_GB2312" w:cs="仿宋_GB2312"/>
        </w:rPr>
        <w:t>1.报价单位是中华人民共和国境内注册的具有独立法人资格的公司或经总公司授权的分支机构，且经营范围应包括咨询或咨询类服务内容；</w:t>
      </w:r>
    </w:p>
    <w:p>
      <w:pPr>
        <w:spacing w:line="560" w:lineRule="exact"/>
        <w:ind w:firstLine="640" w:firstLineChars="200"/>
        <w:rPr>
          <w:rFonts w:ascii="仿宋_GB2312" w:hAnsi="仿宋_GB2312" w:cs="仿宋_GB2312"/>
        </w:rPr>
      </w:pPr>
      <w:r>
        <w:rPr>
          <w:rFonts w:hint="eastAsia" w:ascii="仿宋_GB2312" w:hAnsi="仿宋_GB2312" w:cs="仿宋_GB2312"/>
        </w:rPr>
        <w:t>2.具有自2017年1月1日至今（以合同签订时间为准）至少一项投资并购财务顾问或财务尽调咨询服务业绩；</w:t>
      </w:r>
    </w:p>
    <w:p>
      <w:pPr>
        <w:spacing w:line="560" w:lineRule="exact"/>
        <w:ind w:firstLine="640" w:firstLineChars="200"/>
        <w:rPr>
          <w:rFonts w:ascii="仿宋_GB2312" w:hAnsi="仿宋_GB2312" w:cs="仿宋_GB2312"/>
        </w:rPr>
      </w:pPr>
      <w:r>
        <w:rPr>
          <w:rFonts w:hint="eastAsia" w:ascii="仿宋_GB2312" w:hAnsi="仿宋_GB2312" w:cs="仿宋_GB2312"/>
        </w:rPr>
        <w:t>3.本项目不接受联合体报价。</w:t>
      </w:r>
    </w:p>
    <w:p>
      <w:pPr>
        <w:spacing w:line="560" w:lineRule="exact"/>
        <w:ind w:firstLine="640" w:firstLineChars="200"/>
        <w:outlineLvl w:val="0"/>
        <w:rPr>
          <w:rFonts w:ascii="仿宋" w:hAnsi="仿宋" w:eastAsia="仿宋" w:cs="仿宋"/>
          <w:b/>
          <w:bCs/>
        </w:rPr>
      </w:pPr>
      <w:r>
        <w:rPr>
          <w:rFonts w:hint="eastAsia" w:ascii="黑体" w:hAnsi="黑体" w:eastAsia="黑体" w:cs="仿宋"/>
        </w:rPr>
        <w:t>三、财务顾问工作范围</w:t>
      </w:r>
    </w:p>
    <w:p>
      <w:pPr>
        <w:spacing w:line="560" w:lineRule="exact"/>
        <w:ind w:firstLine="640" w:firstLineChars="200"/>
        <w:rPr>
          <w:rFonts w:ascii="仿宋_GB2312" w:hAnsi="仿宋_GB2312" w:cs="仿宋_GB2312"/>
        </w:rPr>
      </w:pPr>
      <w:r>
        <w:rPr>
          <w:rFonts w:hint="eastAsia" w:ascii="仿宋_GB2312" w:hAnsi="仿宋_GB2312" w:cs="仿宋_GB2312"/>
        </w:rPr>
        <w:t>财务顾问工作范围主要包括以下：</w:t>
      </w:r>
    </w:p>
    <w:p>
      <w:pPr>
        <w:spacing w:line="560" w:lineRule="exact"/>
        <w:ind w:firstLine="640" w:firstLineChars="200"/>
        <w:rPr>
          <w:rFonts w:ascii="仿宋_GB2312" w:hAnsi="仿宋_GB2312" w:cs="仿宋_GB2312"/>
        </w:rPr>
      </w:pPr>
      <w:r>
        <w:rPr>
          <w:rFonts w:hint="eastAsia" w:ascii="仿宋_GB2312" w:hAnsi="仿宋_GB2312" w:cs="仿宋_GB2312"/>
        </w:rPr>
        <w:t>（一）尽职调查的过程管理及协调</w:t>
      </w:r>
    </w:p>
    <w:p>
      <w:pPr>
        <w:spacing w:line="560" w:lineRule="exact"/>
        <w:ind w:firstLine="640" w:firstLineChars="200"/>
        <w:rPr>
          <w:rFonts w:ascii="仿宋_GB2312" w:hAnsi="仿宋_GB2312" w:cs="仿宋_GB2312"/>
        </w:rPr>
      </w:pPr>
      <w:r>
        <w:rPr>
          <w:rFonts w:hint="eastAsia" w:ascii="仿宋_GB2312" w:hAnsi="仿宋_GB2312" w:cs="仿宋_GB2312"/>
        </w:rPr>
        <w:t>1.协调安排我公司另外聘请的尽职调查、审计、评估团队的工作，并对尽职调查的进度进行监控；</w:t>
      </w:r>
    </w:p>
    <w:p>
      <w:pPr>
        <w:spacing w:line="560" w:lineRule="exact"/>
        <w:ind w:firstLine="640" w:firstLineChars="200"/>
        <w:rPr>
          <w:rFonts w:ascii="仿宋_GB2312" w:hAnsi="仿宋_GB2312" w:cs="仿宋_GB2312"/>
        </w:rPr>
      </w:pPr>
      <w:r>
        <w:rPr>
          <w:rFonts w:hint="eastAsia" w:ascii="仿宋_GB2312" w:hAnsi="仿宋_GB2312" w:cs="仿宋_GB2312"/>
        </w:rPr>
        <w:t>2.协助我公司为管理层访谈做准备，并为管理层访谈及沟通提供现场支持；</w:t>
      </w:r>
    </w:p>
    <w:p>
      <w:pPr>
        <w:spacing w:line="560" w:lineRule="exact"/>
        <w:ind w:firstLine="640" w:firstLineChars="200"/>
        <w:rPr>
          <w:rFonts w:ascii="仿宋_GB2312" w:hAnsi="仿宋_GB2312" w:cs="仿宋_GB2312"/>
        </w:rPr>
      </w:pPr>
      <w:r>
        <w:rPr>
          <w:rFonts w:hint="eastAsia" w:ascii="仿宋_GB2312" w:hAnsi="仿宋_GB2312" w:cs="仿宋_GB2312"/>
        </w:rPr>
        <w:t>3.及时将尽职调查过程中发现的问题进行汇总，并与我公司及交易各方沟通，以寻求对策。</w:t>
      </w:r>
    </w:p>
    <w:p>
      <w:pPr>
        <w:spacing w:line="560" w:lineRule="exact"/>
        <w:ind w:firstLine="640" w:firstLineChars="200"/>
        <w:rPr>
          <w:rFonts w:ascii="仿宋_GB2312" w:hAnsi="仿宋_GB2312" w:cs="仿宋_GB2312"/>
        </w:rPr>
      </w:pPr>
      <w:r>
        <w:rPr>
          <w:rFonts w:hint="eastAsia" w:ascii="仿宋_GB2312" w:hAnsi="仿宋_GB2312" w:cs="仿宋_GB2312"/>
        </w:rPr>
        <w:t>（二）目标公司估值分析及报价协助</w:t>
      </w:r>
    </w:p>
    <w:p>
      <w:pPr>
        <w:spacing w:line="560" w:lineRule="exact"/>
        <w:ind w:firstLine="640" w:firstLineChars="200"/>
        <w:rPr>
          <w:rFonts w:ascii="仿宋_GB2312" w:hAnsi="仿宋_GB2312" w:cs="仿宋_GB2312"/>
        </w:rPr>
      </w:pPr>
      <w:r>
        <w:rPr>
          <w:rFonts w:hint="eastAsia" w:ascii="仿宋_GB2312" w:hAnsi="仿宋_GB2312" w:cs="仿宋_GB2312"/>
        </w:rPr>
        <w:t xml:space="preserve">1.评价所取得的信息并根据取得的信息进行财务分析； </w:t>
      </w:r>
    </w:p>
    <w:p>
      <w:pPr>
        <w:spacing w:line="560" w:lineRule="exact"/>
        <w:ind w:firstLine="640" w:firstLineChars="200"/>
        <w:rPr>
          <w:rFonts w:ascii="仿宋_GB2312" w:hAnsi="仿宋_GB2312" w:cs="仿宋_GB2312"/>
        </w:rPr>
      </w:pPr>
      <w:r>
        <w:rPr>
          <w:rFonts w:hint="eastAsia" w:ascii="仿宋_GB2312" w:hAnsi="仿宋_GB2312" w:cs="仿宋_GB2312"/>
        </w:rPr>
        <w:t>2.定性分析电力市场化交易政策及趋势；</w:t>
      </w:r>
    </w:p>
    <w:p>
      <w:pPr>
        <w:spacing w:line="560" w:lineRule="exact"/>
        <w:ind w:firstLine="640" w:firstLineChars="200"/>
        <w:rPr>
          <w:rFonts w:ascii="仿宋_GB2312" w:hAnsi="仿宋_GB2312" w:cs="仿宋_GB2312"/>
        </w:rPr>
      </w:pPr>
      <w:r>
        <w:rPr>
          <w:rFonts w:hint="eastAsia" w:ascii="仿宋_GB2312" w:hAnsi="仿宋_GB2312" w:cs="仿宋_GB2312"/>
        </w:rPr>
        <w:t>3.根据取得信息运营假设，通过各方面进行价格分析；</w:t>
      </w:r>
    </w:p>
    <w:p>
      <w:pPr>
        <w:spacing w:line="560" w:lineRule="exact"/>
        <w:ind w:firstLine="640" w:firstLineChars="200"/>
        <w:rPr>
          <w:rFonts w:ascii="仿宋_GB2312" w:hAnsi="仿宋_GB2312" w:cs="仿宋_GB2312"/>
        </w:rPr>
      </w:pPr>
      <w:r>
        <w:rPr>
          <w:rFonts w:hint="eastAsia" w:ascii="仿宋_GB2312" w:hAnsi="仿宋_GB2312" w:cs="仿宋_GB2312"/>
        </w:rPr>
        <w:t>4.建立一套弹性财务分析模型，其中包含价值驱动主要因素和财务结构；</w:t>
      </w:r>
    </w:p>
    <w:p>
      <w:pPr>
        <w:spacing w:line="560" w:lineRule="exact"/>
        <w:ind w:firstLine="640" w:firstLineChars="200"/>
        <w:rPr>
          <w:rFonts w:ascii="仿宋_GB2312" w:hAnsi="仿宋_GB2312" w:cs="仿宋_GB2312"/>
        </w:rPr>
      </w:pPr>
      <w:r>
        <w:rPr>
          <w:rFonts w:hint="eastAsia" w:ascii="仿宋_GB2312" w:hAnsi="仿宋_GB2312" w:cs="仿宋_GB2312"/>
        </w:rPr>
        <w:t>5.根据不同的运营和财务假设分析关键假设对不同的价格区间的影响；</w:t>
      </w:r>
    </w:p>
    <w:p>
      <w:pPr>
        <w:spacing w:line="560" w:lineRule="exact"/>
        <w:ind w:firstLine="640" w:firstLineChars="200"/>
        <w:rPr>
          <w:rFonts w:ascii="仿宋_GB2312" w:hAnsi="仿宋_GB2312" w:cs="仿宋_GB2312"/>
        </w:rPr>
      </w:pPr>
      <w:r>
        <w:rPr>
          <w:rFonts w:hint="eastAsia" w:ascii="仿宋_GB2312" w:hAnsi="仿宋_GB2312" w:cs="仿宋_GB2312"/>
        </w:rPr>
        <w:t>6.根据行业公司倍数和历史交易分析进行价格比对；</w:t>
      </w:r>
    </w:p>
    <w:p>
      <w:pPr>
        <w:spacing w:line="560" w:lineRule="exact"/>
        <w:ind w:firstLine="640" w:firstLineChars="200"/>
        <w:rPr>
          <w:rFonts w:ascii="仿宋_GB2312" w:hAnsi="仿宋_GB2312" w:cs="仿宋_GB2312"/>
        </w:rPr>
      </w:pPr>
      <w:r>
        <w:rPr>
          <w:rFonts w:hint="eastAsia" w:ascii="仿宋_GB2312" w:hAnsi="仿宋_GB2312" w:cs="仿宋_GB2312"/>
        </w:rPr>
        <w:t>7.对本次并购交易形成整体投资分析报告；</w:t>
      </w:r>
    </w:p>
    <w:p>
      <w:pPr>
        <w:spacing w:line="560" w:lineRule="exact"/>
        <w:ind w:firstLine="640" w:firstLineChars="200"/>
        <w:rPr>
          <w:rFonts w:ascii="仿宋_GB2312" w:hAnsi="仿宋_GB2312" w:cs="仿宋_GB2312"/>
        </w:rPr>
      </w:pPr>
      <w:r>
        <w:rPr>
          <w:rFonts w:hint="eastAsia" w:ascii="仿宋_GB2312" w:hAnsi="仿宋_GB2312" w:cs="仿宋_GB2312"/>
        </w:rPr>
        <w:t>8.结合项目和对手方情况，协助制定报价策略。</w:t>
      </w:r>
    </w:p>
    <w:p>
      <w:pPr>
        <w:spacing w:line="560" w:lineRule="exact"/>
        <w:ind w:firstLine="640" w:firstLineChars="200"/>
        <w:rPr>
          <w:rFonts w:ascii="仿宋_GB2312" w:hAnsi="仿宋_GB2312" w:cs="仿宋_GB2312"/>
        </w:rPr>
      </w:pPr>
      <w:r>
        <w:rPr>
          <w:rFonts w:hint="eastAsia" w:ascii="仿宋_GB2312" w:hAnsi="仿宋_GB2312" w:cs="仿宋_GB2312"/>
        </w:rPr>
        <w:t>（三）股权收购协议谈判</w:t>
      </w:r>
    </w:p>
    <w:p>
      <w:pPr>
        <w:spacing w:line="560" w:lineRule="exact"/>
        <w:ind w:firstLine="640" w:firstLineChars="200"/>
        <w:rPr>
          <w:rFonts w:ascii="仿宋_GB2312" w:hAnsi="仿宋_GB2312" w:cs="仿宋_GB2312"/>
        </w:rPr>
      </w:pPr>
      <w:r>
        <w:rPr>
          <w:rFonts w:hint="eastAsia" w:ascii="仿宋_GB2312" w:hAnsi="仿宋_GB2312" w:cs="仿宋_GB2312"/>
        </w:rPr>
        <w:t>1.协助我公司根据尽职调查的主要发现对卖方就交易条款进行谈判，其中主要包括：价格、交易架构和主要交易文件条款（比如交易陈述与保证，赔偿，中止条款，结束日期及排他性相关的条款等）；</w:t>
      </w:r>
    </w:p>
    <w:p>
      <w:pPr>
        <w:spacing w:line="560" w:lineRule="exact"/>
        <w:ind w:firstLine="640" w:firstLineChars="200"/>
        <w:rPr>
          <w:rFonts w:ascii="仿宋_GB2312" w:hAnsi="仿宋_GB2312" w:cs="仿宋_GB2312"/>
        </w:rPr>
      </w:pPr>
      <w:r>
        <w:rPr>
          <w:rFonts w:hint="eastAsia" w:ascii="仿宋_GB2312" w:hAnsi="仿宋_GB2312" w:cs="仿宋_GB2312"/>
        </w:rPr>
        <w:t>2.协助并促进对谈判结果有最终影响力的主要决策者/目标公司股东之间的对话；</w:t>
      </w:r>
    </w:p>
    <w:p>
      <w:pPr>
        <w:spacing w:line="560" w:lineRule="exact"/>
        <w:ind w:firstLine="640" w:firstLineChars="200"/>
        <w:rPr>
          <w:rFonts w:ascii="仿宋_GB2312" w:hAnsi="仿宋_GB2312" w:cs="仿宋_GB2312"/>
        </w:rPr>
      </w:pPr>
      <w:r>
        <w:rPr>
          <w:rFonts w:hint="eastAsia" w:ascii="仿宋_GB2312" w:hAnsi="仿宋_GB2312" w:cs="仿宋_GB2312"/>
        </w:rPr>
        <w:t>3.指导谈判过程中的策略和技巧，包括在谈判全过程中协调目标公司及其委任顾问及管理层；</w:t>
      </w:r>
    </w:p>
    <w:p>
      <w:pPr>
        <w:spacing w:line="560" w:lineRule="exact"/>
        <w:ind w:firstLine="640" w:firstLineChars="200"/>
        <w:rPr>
          <w:rFonts w:ascii="仿宋_GB2312" w:hAnsi="仿宋_GB2312" w:cs="仿宋_GB2312"/>
        </w:rPr>
      </w:pPr>
      <w:r>
        <w:rPr>
          <w:rFonts w:hint="eastAsia" w:ascii="仿宋_GB2312" w:hAnsi="仿宋_GB2312" w:cs="仿宋_GB2312"/>
        </w:rPr>
        <w:t>4.对交易的相关选择进行指导，例如可能的交易架构，投资意向的主要条款和条件，谈判采取的技巧和方法等；及在谈判过程中对谈判技巧和策略提供实时建议直至谈判结束；</w:t>
      </w:r>
    </w:p>
    <w:p>
      <w:pPr>
        <w:spacing w:line="560" w:lineRule="exact"/>
        <w:ind w:firstLine="640" w:firstLineChars="200"/>
        <w:rPr>
          <w:rFonts w:ascii="仿宋_GB2312" w:hAnsi="仿宋_GB2312" w:cs="仿宋_GB2312"/>
        </w:rPr>
      </w:pPr>
      <w:r>
        <w:rPr>
          <w:rFonts w:hint="eastAsia" w:ascii="仿宋_GB2312" w:hAnsi="仿宋_GB2312" w:cs="仿宋_GB2312"/>
        </w:rPr>
        <w:t>5.协同我公司的法律团队，审阅交易相关文件，例如《股权收购协议》（或《股份转让协议》）、《股东协议》或其他交易相关文件。</w:t>
      </w:r>
    </w:p>
    <w:p>
      <w:pPr>
        <w:spacing w:line="560" w:lineRule="exact"/>
        <w:ind w:firstLine="640" w:firstLineChars="200"/>
        <w:outlineLvl w:val="0"/>
        <w:rPr>
          <w:rFonts w:ascii="黑体" w:hAnsi="黑体" w:eastAsia="黑体" w:cs="仿宋"/>
        </w:rPr>
      </w:pPr>
      <w:r>
        <w:rPr>
          <w:rFonts w:hint="eastAsia" w:ascii="黑体" w:hAnsi="黑体" w:eastAsia="黑体" w:cs="仿宋"/>
        </w:rPr>
        <w:t>四、合同主要条款</w:t>
      </w:r>
    </w:p>
    <w:p>
      <w:pPr>
        <w:spacing w:line="560" w:lineRule="exact"/>
        <w:ind w:firstLine="640" w:firstLineChars="200"/>
        <w:rPr>
          <w:rFonts w:ascii="仿宋_GB2312" w:hAnsi="仿宋_GB2312" w:cs="仿宋_GB2312"/>
        </w:rPr>
      </w:pPr>
      <w:r>
        <w:rPr>
          <w:rFonts w:hint="eastAsia" w:ascii="仿宋_GB2312" w:hAnsi="仿宋_GB2312" w:cs="仿宋_GB2312"/>
        </w:rPr>
        <w:t>（一）付款方式</w:t>
      </w:r>
    </w:p>
    <w:p>
      <w:pPr>
        <w:spacing w:line="560" w:lineRule="exact"/>
        <w:ind w:firstLine="640" w:firstLineChars="200"/>
        <w:rPr>
          <w:rFonts w:ascii="仿宋_GB2312" w:hAnsi="仿宋_GB2312" w:cs="仿宋_GB2312"/>
          <w:kern w:val="0"/>
        </w:rPr>
      </w:pPr>
      <w:r>
        <w:rPr>
          <w:rFonts w:hint="eastAsia" w:ascii="仿宋_GB2312" w:hAnsi="仿宋_GB2312" w:cs="仿宋_GB2312"/>
        </w:rPr>
        <w:t>合同签订</w:t>
      </w:r>
      <w:r>
        <w:rPr>
          <w:rFonts w:hint="eastAsia" w:ascii="仿宋_GB2312" w:hAnsi="仿宋_GB2312" w:cs="仿宋_GB2312"/>
          <w:lang w:eastAsia="zh-Hans"/>
        </w:rPr>
        <w:t>且</w:t>
      </w:r>
      <w:r>
        <w:rPr>
          <w:rFonts w:hint="eastAsia" w:ascii="仿宋_GB2312" w:hAnsi="仿宋_GB2312" w:cs="仿宋_GB2312"/>
          <w:kern w:val="0"/>
        </w:rPr>
        <w:t>服务</w:t>
      </w:r>
      <w:r>
        <w:rPr>
          <w:rFonts w:hint="eastAsia" w:ascii="仿宋_GB2312" w:hAnsi="仿宋_GB2312" w:cs="仿宋_GB2312"/>
        </w:rPr>
        <w:t>单位出具最终版整体投资分析报告，并经采购单位确认后，</w:t>
      </w:r>
      <w:r>
        <w:rPr>
          <w:rFonts w:hint="eastAsia" w:ascii="仿宋_GB2312" w:hAnsi="仿宋_GB2312" w:cs="仿宋_GB2312"/>
          <w:kern w:val="0"/>
        </w:rPr>
        <w:t>需向采购单位开具总合同金额60%的税率为6%的增值税专用发票，采购单位收到发票后15个工作日内支付总合同金额的60%。</w:t>
      </w:r>
    </w:p>
    <w:p>
      <w:pPr>
        <w:spacing w:line="560" w:lineRule="exact"/>
        <w:ind w:firstLine="640" w:firstLineChars="200"/>
        <w:rPr>
          <w:rFonts w:ascii="仿宋_GB2312" w:hAnsi="仿宋_GB2312" w:cs="仿宋_GB2312"/>
          <w:kern w:val="0"/>
        </w:rPr>
      </w:pPr>
      <w:r>
        <w:rPr>
          <w:rFonts w:hint="eastAsia" w:ascii="仿宋_GB2312" w:hAnsi="仿宋_GB2312" w:cs="仿宋_GB2312"/>
          <w:kern w:val="0"/>
        </w:rPr>
        <w:t>服务</w:t>
      </w:r>
      <w:r>
        <w:rPr>
          <w:rFonts w:hint="eastAsia" w:ascii="仿宋_GB2312" w:hAnsi="仿宋_GB2312" w:cs="仿宋_GB2312"/>
        </w:rPr>
        <w:t>单位协同我公司的法律团队审阅股权收购协议等交易相关文件，出具审阅意见，并经采购单位确认后，服务单位</w:t>
      </w:r>
      <w:r>
        <w:rPr>
          <w:rFonts w:hint="eastAsia" w:ascii="仿宋_GB2312" w:hAnsi="仿宋_GB2312" w:cs="仿宋_GB2312"/>
          <w:kern w:val="0"/>
        </w:rPr>
        <w:t>需向采购单位开具总合同金额40%的税率为6%的增值税专用发票，采购单位收到发票后15个工作日内支付总合同金额的40%。</w:t>
      </w:r>
    </w:p>
    <w:p>
      <w:pPr>
        <w:spacing w:line="560" w:lineRule="exact"/>
        <w:ind w:firstLine="640" w:firstLineChars="200"/>
        <w:rPr>
          <w:rFonts w:ascii="仿宋_GB2312" w:hAnsi="仿宋_GB2312" w:cs="仿宋_GB2312"/>
        </w:rPr>
      </w:pPr>
      <w:r>
        <w:rPr>
          <w:rFonts w:hint="eastAsia" w:ascii="仿宋_GB2312" w:hAnsi="仿宋_GB2312" w:cs="仿宋_GB2312"/>
        </w:rPr>
        <w:t>（二）团队人员配置要求</w:t>
      </w:r>
    </w:p>
    <w:p>
      <w:pPr>
        <w:spacing w:line="560" w:lineRule="exact"/>
        <w:ind w:firstLine="640" w:firstLineChars="200"/>
        <w:rPr>
          <w:rFonts w:ascii="仿宋_GB2312" w:hAnsi="仿宋_GB2312" w:cs="仿宋_GB2312"/>
        </w:rPr>
      </w:pPr>
      <w:r>
        <w:rPr>
          <w:rFonts w:hint="eastAsia" w:ascii="仿宋_GB2312" w:hAnsi="仿宋_GB2312" w:cs="仿宋_GB2312"/>
        </w:rPr>
        <w:t>项目负责人1名，需具备丰富的新能源电力项目投资并购经验或丰富的财务顾问服务经验；除项目负责人外仍需配备至少2名工作人员。</w:t>
      </w:r>
    </w:p>
    <w:p>
      <w:pPr>
        <w:spacing w:line="560" w:lineRule="exact"/>
        <w:ind w:firstLine="640" w:firstLineChars="200"/>
        <w:outlineLvl w:val="0"/>
        <w:rPr>
          <w:rFonts w:ascii="黑体" w:hAnsi="黑体" w:eastAsia="黑体" w:cs="仿宋"/>
        </w:rPr>
      </w:pPr>
      <w:r>
        <w:rPr>
          <w:rFonts w:hint="eastAsia" w:ascii="黑体" w:hAnsi="黑体" w:eastAsia="黑体" w:cs="仿宋"/>
        </w:rPr>
        <w:t>五、报价要求</w:t>
      </w:r>
    </w:p>
    <w:p>
      <w:pPr>
        <w:spacing w:line="560" w:lineRule="exact"/>
        <w:ind w:firstLine="640" w:firstLineChars="200"/>
        <w:rPr>
          <w:rFonts w:ascii="仿宋_GB2312" w:hAnsi="仿宋_GB2312" w:cs="仿宋_GB2312"/>
        </w:rPr>
      </w:pPr>
      <w:r>
        <w:rPr>
          <w:rFonts w:hint="eastAsia" w:ascii="仿宋_GB2312" w:hAnsi="仿宋_GB2312" w:cs="仿宋_GB2312"/>
        </w:rPr>
        <w:t>1.报价应为含税全包价，包括提供相关服务的所有费用；</w:t>
      </w:r>
    </w:p>
    <w:p>
      <w:pPr>
        <w:spacing w:line="560" w:lineRule="exact"/>
        <w:ind w:firstLine="640" w:firstLineChars="200"/>
        <w:rPr>
          <w:rFonts w:ascii="仿宋_GB2312" w:hAnsi="仿宋_GB2312" w:cs="仿宋_GB2312"/>
        </w:rPr>
      </w:pPr>
      <w:r>
        <w:rPr>
          <w:rFonts w:hint="eastAsia" w:ascii="仿宋_GB2312" w:hAnsi="仿宋_GB2312" w:cs="仿宋_GB2312"/>
        </w:rPr>
        <w:t>2.合同价格形式：固定总价；</w:t>
      </w:r>
    </w:p>
    <w:p>
      <w:pPr>
        <w:spacing w:line="560" w:lineRule="exact"/>
        <w:ind w:firstLine="640" w:firstLineChars="200"/>
        <w:rPr>
          <w:rFonts w:ascii="仿宋_GB2312" w:hAnsi="仿宋_GB2312" w:cs="仿宋_GB2312"/>
        </w:rPr>
      </w:pPr>
      <w:r>
        <w:rPr>
          <w:rFonts w:hint="eastAsia" w:ascii="仿宋_GB2312" w:hAnsi="仿宋_GB2312" w:cs="仿宋_GB2312"/>
        </w:rPr>
        <w:t>3.报价不得高于采购预算金额，且应满足本询价采购公告报价单位资格要求及其他要求，否则报价无效。</w:t>
      </w:r>
    </w:p>
    <w:p>
      <w:pPr>
        <w:spacing w:line="560" w:lineRule="exact"/>
        <w:ind w:firstLine="640" w:firstLineChars="200"/>
        <w:rPr>
          <w:rFonts w:ascii="仿宋_GB2312" w:hAnsi="仿宋_GB2312" w:cs="仿宋_GB2312"/>
        </w:rPr>
      </w:pPr>
      <w:r>
        <w:rPr>
          <w:rFonts w:hint="eastAsia" w:ascii="仿宋_GB2312" w:hAnsi="仿宋_GB2312" w:cs="仿宋_GB2312"/>
        </w:rPr>
        <w:t>4.报价文件资料：</w:t>
      </w:r>
    </w:p>
    <w:p>
      <w:pPr>
        <w:spacing w:line="560" w:lineRule="exact"/>
        <w:ind w:firstLine="640" w:firstLineChars="200"/>
        <w:outlineLvl w:val="1"/>
        <w:rPr>
          <w:rFonts w:ascii="仿宋_GB2312" w:hAnsi="仿宋_GB2312" w:cs="仿宋_GB2312"/>
        </w:rPr>
      </w:pPr>
      <w:r>
        <w:rPr>
          <w:rFonts w:hint="eastAsia" w:ascii="仿宋_GB2312" w:hAnsi="仿宋_GB2312" w:cs="仿宋_GB2312"/>
        </w:rPr>
        <w:t>（1）确认函（见附件1）</w:t>
      </w:r>
    </w:p>
    <w:p>
      <w:pPr>
        <w:spacing w:line="560" w:lineRule="exact"/>
        <w:ind w:firstLine="640" w:firstLineChars="200"/>
        <w:outlineLvl w:val="1"/>
        <w:rPr>
          <w:rFonts w:ascii="仿宋_GB2312" w:hAnsi="仿宋_GB2312" w:cs="仿宋_GB2312"/>
        </w:rPr>
      </w:pPr>
      <w:r>
        <w:rPr>
          <w:rFonts w:hint="eastAsia" w:ascii="仿宋_GB2312" w:hAnsi="仿宋_GB2312" w:cs="仿宋_GB2312"/>
        </w:rPr>
        <w:t>（2）报价单（见附件2）</w:t>
      </w:r>
    </w:p>
    <w:p>
      <w:pPr>
        <w:spacing w:line="560" w:lineRule="exact"/>
        <w:ind w:firstLine="640" w:firstLineChars="200"/>
        <w:outlineLvl w:val="1"/>
        <w:rPr>
          <w:rFonts w:ascii="仿宋_GB2312" w:hAnsi="仿宋_GB2312" w:cs="仿宋_GB2312"/>
        </w:rPr>
      </w:pPr>
      <w:r>
        <w:rPr>
          <w:rFonts w:hint="eastAsia" w:ascii="仿宋_GB2312" w:hAnsi="仿宋_GB2312" w:cs="仿宋_GB2312"/>
        </w:rPr>
        <w:t>（3）营业执照副本</w:t>
      </w:r>
    </w:p>
    <w:p>
      <w:pPr>
        <w:spacing w:line="560" w:lineRule="exact"/>
        <w:ind w:firstLine="640" w:firstLineChars="200"/>
        <w:outlineLvl w:val="1"/>
        <w:rPr>
          <w:rFonts w:ascii="仿宋_GB2312" w:hAnsi="仿宋_GB2312" w:cs="仿宋_GB2312"/>
        </w:rPr>
      </w:pPr>
      <w:r>
        <w:rPr>
          <w:rFonts w:hint="eastAsia" w:ascii="仿宋_GB2312" w:hAnsi="仿宋_GB2312" w:cs="仿宋_GB2312"/>
        </w:rPr>
        <w:t>（4）同类项目实施情况一览表（见附件3）</w:t>
      </w:r>
    </w:p>
    <w:p>
      <w:pPr>
        <w:spacing w:line="560" w:lineRule="exact"/>
        <w:ind w:firstLine="640" w:firstLineChars="200"/>
        <w:rPr>
          <w:rFonts w:ascii="仿宋_GB2312" w:hAnsi="仿宋_GB2312" w:cs="仿宋_GB2312"/>
          <w:kern w:val="0"/>
        </w:rPr>
      </w:pPr>
      <w:r>
        <w:rPr>
          <w:rFonts w:hint="eastAsia" w:ascii="仿宋_GB2312" w:hAnsi="仿宋_GB2312" w:cs="仿宋_GB2312"/>
          <w:kern w:val="0"/>
        </w:rPr>
        <w:t>以上材料需左侧双钉装订成册，其中第（1）、（2）、（4）条需按照附件格式要求打印并加盖公章，第（3）条可提供原件或复印件，如提供复印件须加盖公章。</w:t>
      </w:r>
    </w:p>
    <w:p>
      <w:pPr>
        <w:spacing w:line="560" w:lineRule="exact"/>
        <w:ind w:firstLine="640" w:firstLineChars="200"/>
        <w:outlineLvl w:val="0"/>
        <w:rPr>
          <w:rFonts w:ascii="黑体" w:hAnsi="黑体" w:eastAsia="黑体" w:cs="仿宋"/>
        </w:rPr>
      </w:pPr>
      <w:r>
        <w:rPr>
          <w:rFonts w:hint="eastAsia" w:ascii="黑体" w:hAnsi="黑体" w:eastAsia="黑体" w:cs="仿宋"/>
        </w:rPr>
        <w:t>六、评分方式</w:t>
      </w:r>
    </w:p>
    <w:p>
      <w:pPr>
        <w:spacing w:line="560" w:lineRule="exact"/>
        <w:ind w:firstLine="640" w:firstLineChars="200"/>
        <w:rPr>
          <w:rFonts w:ascii="仿宋_GB2312" w:hAnsi="仿宋_GB2312" w:cs="仿宋_GB2312"/>
        </w:rPr>
      </w:pPr>
      <w:r>
        <w:rPr>
          <w:rFonts w:hint="eastAsia" w:ascii="仿宋_GB2312" w:hAnsi="仿宋_GB2312" w:cs="仿宋_GB2312"/>
        </w:rPr>
        <w:t>1.本次采购采用综合评分法。</w:t>
      </w:r>
    </w:p>
    <w:p>
      <w:pPr>
        <w:spacing w:line="560" w:lineRule="exact"/>
        <w:ind w:firstLine="640" w:firstLineChars="200"/>
        <w:rPr>
          <w:rFonts w:ascii="仿宋_GB2312" w:hAnsi="仿宋_GB2312" w:cs="仿宋_GB2312"/>
        </w:rPr>
      </w:pPr>
      <w:r>
        <w:rPr>
          <w:rFonts w:hint="eastAsia" w:ascii="仿宋_GB2312" w:hAnsi="仿宋_GB2312" w:cs="仿宋_GB2312"/>
        </w:rPr>
        <w:t>评分委员会应根据各报价单位的报价材料按照评分标准进行评分，并按最终得分照从高到低的顺序进行排序。当报价单位最终得分相同时，报价更低者居前。以排名第一的报价单位为本项目服务方。</w:t>
      </w:r>
    </w:p>
    <w:p>
      <w:pPr>
        <w:spacing w:line="560" w:lineRule="exact"/>
        <w:ind w:firstLine="640" w:firstLineChars="200"/>
        <w:rPr>
          <w:rFonts w:ascii="仿宋_GB2312" w:hAnsi="仿宋_GB2312" w:cs="仿宋_GB2312"/>
        </w:rPr>
      </w:pPr>
      <w:r>
        <w:rPr>
          <w:rFonts w:hint="eastAsia" w:ascii="仿宋_GB2312" w:hAnsi="仿宋_GB2312" w:cs="仿宋_GB2312"/>
        </w:rPr>
        <w:t>2.评分标准</w:t>
      </w:r>
    </w:p>
    <w:tbl>
      <w:tblPr>
        <w:tblStyle w:val="25"/>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5"/>
        <w:gridCol w:w="992"/>
        <w:gridCol w:w="6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25"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评分因素</w:t>
            </w:r>
          </w:p>
        </w:tc>
        <w:tc>
          <w:tcPr>
            <w:tcW w:w="992"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分数</w:t>
            </w:r>
          </w:p>
        </w:tc>
        <w:tc>
          <w:tcPr>
            <w:tcW w:w="676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25" w:type="dxa"/>
            <w:vAlign w:val="center"/>
          </w:tcPr>
          <w:p>
            <w:pPr>
              <w:autoSpaceDE w:val="0"/>
              <w:autoSpaceDN w:val="0"/>
              <w:adjustRightInd w:val="0"/>
              <w:spacing w:line="360" w:lineRule="auto"/>
              <w:jc w:val="center"/>
              <w:rPr>
                <w:rFonts w:ascii="Calibri" w:hAnsi="Calibri" w:eastAsia="仿宋"/>
                <w:sz w:val="24"/>
                <w:lang w:val="zh-CN"/>
              </w:rPr>
            </w:pPr>
            <w:r>
              <w:rPr>
                <w:rFonts w:hint="eastAsia" w:ascii="仿宋" w:hAnsi="Calibri" w:eastAsia="仿宋" w:cs="仿宋"/>
                <w:sz w:val="24"/>
                <w:lang w:val="zh-CN"/>
              </w:rPr>
              <w:t>报价</w:t>
            </w:r>
          </w:p>
        </w:tc>
        <w:tc>
          <w:tcPr>
            <w:tcW w:w="992" w:type="dxa"/>
            <w:vAlign w:val="center"/>
          </w:tcPr>
          <w:p>
            <w:pPr>
              <w:autoSpaceDE w:val="0"/>
              <w:autoSpaceDN w:val="0"/>
              <w:adjustRightInd w:val="0"/>
              <w:spacing w:line="360" w:lineRule="auto"/>
              <w:jc w:val="center"/>
              <w:rPr>
                <w:rFonts w:ascii="Calibri" w:hAnsi="Calibri" w:eastAsia="仿宋"/>
                <w:sz w:val="24"/>
                <w:lang w:val="zh-CN"/>
              </w:rPr>
            </w:pPr>
            <w:r>
              <w:rPr>
                <w:rFonts w:ascii="仿宋" w:hAnsi="Calibri" w:eastAsia="仿宋" w:cs="仿宋"/>
                <w:sz w:val="24"/>
              </w:rPr>
              <w:t>35</w:t>
            </w:r>
            <w:r>
              <w:rPr>
                <w:rFonts w:hint="eastAsia" w:ascii="仿宋" w:hAnsi="Calibri" w:eastAsia="仿宋" w:cs="仿宋"/>
                <w:sz w:val="24"/>
                <w:lang w:val="zh-CN"/>
              </w:rPr>
              <w:t>分</w:t>
            </w:r>
          </w:p>
        </w:tc>
        <w:tc>
          <w:tcPr>
            <w:tcW w:w="6769" w:type="dxa"/>
            <w:vAlign w:val="center"/>
          </w:tcPr>
          <w:p>
            <w:pPr>
              <w:widowControl/>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以各有效报价的平均值作为评分基准价。各有效报价最终报价低于或等于评分基准价的得35分；每高于1％扣</w:t>
            </w:r>
            <w:r>
              <w:rPr>
                <w:rFonts w:ascii="仿宋" w:hAnsi="仿宋" w:eastAsia="仿宋" w:cs="仿宋"/>
                <w:sz w:val="24"/>
                <w:szCs w:val="24"/>
              </w:rPr>
              <w:t>0.5</w:t>
            </w:r>
            <w:r>
              <w:rPr>
                <w:rFonts w:hint="eastAsia" w:ascii="仿宋" w:hAnsi="仿宋" w:eastAsia="仿宋" w:cs="仿宋"/>
                <w:sz w:val="24"/>
                <w:szCs w:val="24"/>
              </w:rPr>
              <w:t>分（不足1％按1％计）。扣完为止。</w:t>
            </w:r>
          </w:p>
          <w:p>
            <w:pPr>
              <w:widowControl/>
              <w:autoSpaceDE w:val="0"/>
              <w:autoSpaceDN w:val="0"/>
              <w:adjustRightInd w:val="0"/>
              <w:spacing w:line="360" w:lineRule="auto"/>
              <w:rPr>
                <w:rFonts w:ascii="仿宋" w:hAnsi="仿宋" w:eastAsia="仿宋" w:cs="仿宋"/>
                <w:sz w:val="24"/>
                <w:szCs w:val="24"/>
              </w:rPr>
            </w:pPr>
            <w:r>
              <w:rPr>
                <w:rFonts w:hint="eastAsia" w:ascii="仿宋" w:hAnsi="仿宋" w:eastAsia="仿宋" w:cs="仿宋"/>
                <w:sz w:val="24"/>
                <w:szCs w:val="24"/>
              </w:rPr>
              <w:t>超过最高限价的，作废标处理。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25" w:type="dxa"/>
            <w:vAlign w:val="center"/>
          </w:tcPr>
          <w:p>
            <w:pPr>
              <w:autoSpaceDE w:val="0"/>
              <w:autoSpaceDN w:val="0"/>
              <w:adjustRightInd w:val="0"/>
              <w:spacing w:line="360" w:lineRule="auto"/>
              <w:jc w:val="center"/>
              <w:rPr>
                <w:rFonts w:ascii="Calibri" w:hAnsi="Calibri" w:eastAsia="仿宋"/>
                <w:sz w:val="24"/>
                <w:lang w:val="zh-CN"/>
              </w:rPr>
            </w:pPr>
            <w:r>
              <w:rPr>
                <w:rFonts w:hint="eastAsia" w:ascii="仿宋" w:hAnsi="Calibri" w:eastAsia="仿宋" w:cs="仿宋"/>
                <w:sz w:val="24"/>
                <w:lang w:val="zh-CN"/>
              </w:rPr>
              <w:t>同类业绩</w:t>
            </w:r>
          </w:p>
        </w:tc>
        <w:tc>
          <w:tcPr>
            <w:tcW w:w="992" w:type="dxa"/>
            <w:vAlign w:val="center"/>
          </w:tcPr>
          <w:p>
            <w:pPr>
              <w:autoSpaceDE w:val="0"/>
              <w:autoSpaceDN w:val="0"/>
              <w:adjustRightInd w:val="0"/>
              <w:spacing w:line="360" w:lineRule="auto"/>
              <w:jc w:val="center"/>
              <w:rPr>
                <w:rFonts w:ascii="仿宋" w:hAnsi="Calibri" w:eastAsia="仿宋" w:cs="仿宋"/>
                <w:sz w:val="24"/>
                <w:lang w:val="zh-CN"/>
              </w:rPr>
            </w:pPr>
            <w:r>
              <w:rPr>
                <w:rFonts w:ascii="仿宋" w:hAnsi="Calibri" w:eastAsia="仿宋" w:cs="仿宋"/>
                <w:sz w:val="24"/>
              </w:rPr>
              <w:t>30</w:t>
            </w:r>
            <w:r>
              <w:rPr>
                <w:rFonts w:hint="eastAsia" w:ascii="仿宋" w:hAnsi="Calibri" w:eastAsia="仿宋" w:cs="仿宋"/>
                <w:sz w:val="24"/>
                <w:lang w:val="zh-CN"/>
              </w:rPr>
              <w:t>分</w:t>
            </w:r>
          </w:p>
        </w:tc>
        <w:tc>
          <w:tcPr>
            <w:tcW w:w="6769" w:type="dxa"/>
            <w:vAlign w:val="center"/>
          </w:tcPr>
          <w:p>
            <w:pPr>
              <w:widowControl/>
              <w:autoSpaceDE w:val="0"/>
              <w:autoSpaceDN w:val="0"/>
              <w:adjustRightInd w:val="0"/>
              <w:spacing w:line="360" w:lineRule="auto"/>
              <w:ind w:firstLine="480" w:firstLineChars="200"/>
              <w:rPr>
                <w:rFonts w:ascii="仿宋" w:hAnsi="仿宋" w:eastAsia="仿宋"/>
                <w:sz w:val="24"/>
                <w:szCs w:val="24"/>
              </w:rPr>
            </w:pPr>
            <w:r>
              <w:rPr>
                <w:rFonts w:hint="eastAsia" w:ascii="仿宋" w:hAnsi="仿宋" w:eastAsia="仿宋"/>
                <w:sz w:val="24"/>
                <w:szCs w:val="24"/>
              </w:rPr>
              <w:t>自</w:t>
            </w:r>
            <w:r>
              <w:rPr>
                <w:rFonts w:ascii="仿宋" w:hAnsi="仿宋" w:eastAsia="仿宋"/>
                <w:sz w:val="24"/>
                <w:szCs w:val="24"/>
              </w:rPr>
              <w:t>2017年1月1日至今，报价单位完成的境内外新能源电力项目投资并购财务顾问服务，每项得5</w:t>
            </w:r>
            <w:r>
              <w:rPr>
                <w:rFonts w:hint="eastAsia" w:ascii="仿宋" w:hAnsi="仿宋" w:eastAsia="仿宋"/>
                <w:sz w:val="24"/>
                <w:szCs w:val="24"/>
              </w:rPr>
              <w:t>分，本项累计不超过30分；报价单位完成的境内外新能源电力项目财务尽调服务，每项得</w:t>
            </w:r>
            <w:r>
              <w:rPr>
                <w:rFonts w:ascii="仿宋" w:hAnsi="仿宋" w:eastAsia="仿宋"/>
                <w:sz w:val="24"/>
                <w:szCs w:val="24"/>
              </w:rPr>
              <w:t>2分，</w:t>
            </w:r>
            <w:r>
              <w:rPr>
                <w:rFonts w:hint="eastAsia" w:ascii="仿宋" w:hAnsi="仿宋" w:eastAsia="仿宋"/>
                <w:sz w:val="24"/>
                <w:szCs w:val="24"/>
              </w:rPr>
              <w:t>本项累计不超过1</w:t>
            </w:r>
            <w:r>
              <w:rPr>
                <w:rFonts w:ascii="仿宋" w:hAnsi="仿宋" w:eastAsia="仿宋"/>
                <w:sz w:val="24"/>
                <w:szCs w:val="24"/>
              </w:rPr>
              <w:t>0</w:t>
            </w:r>
            <w:r>
              <w:rPr>
                <w:rFonts w:hint="eastAsia" w:ascii="仿宋" w:hAnsi="仿宋" w:eastAsia="仿宋"/>
                <w:sz w:val="24"/>
                <w:szCs w:val="24"/>
              </w:rPr>
              <w:t>分</w:t>
            </w:r>
            <w:r>
              <w:rPr>
                <w:rFonts w:ascii="仿宋" w:hAnsi="仿宋" w:eastAsia="仿宋"/>
                <w:sz w:val="24"/>
                <w:szCs w:val="24"/>
              </w:rPr>
              <w:t>；报价单位完成境内外其他行业财务顾问服务，每项得1</w:t>
            </w:r>
            <w:r>
              <w:rPr>
                <w:rFonts w:hint="eastAsia" w:ascii="仿宋" w:hAnsi="仿宋" w:eastAsia="仿宋"/>
                <w:sz w:val="24"/>
                <w:szCs w:val="24"/>
              </w:rPr>
              <w:t>分，本项累计不超过1</w:t>
            </w:r>
            <w:r>
              <w:rPr>
                <w:rFonts w:ascii="仿宋" w:hAnsi="仿宋" w:eastAsia="仿宋"/>
                <w:sz w:val="24"/>
                <w:szCs w:val="24"/>
              </w:rPr>
              <w:t>0</w:t>
            </w:r>
            <w:r>
              <w:rPr>
                <w:rFonts w:hint="eastAsia" w:ascii="仿宋" w:hAnsi="仿宋" w:eastAsia="仿宋"/>
                <w:sz w:val="24"/>
                <w:szCs w:val="24"/>
              </w:rPr>
              <w:t>分。以上全部业绩总计满分不超过</w:t>
            </w:r>
            <w:r>
              <w:rPr>
                <w:rFonts w:ascii="仿宋" w:hAnsi="仿宋" w:eastAsia="仿宋"/>
                <w:sz w:val="24"/>
                <w:szCs w:val="24"/>
              </w:rPr>
              <w:t>30</w:t>
            </w:r>
            <w:r>
              <w:rPr>
                <w:rFonts w:hint="eastAsia" w:ascii="仿宋" w:hAnsi="仿宋" w:eastAsia="仿宋"/>
                <w:sz w:val="24"/>
                <w:szCs w:val="24"/>
              </w:rPr>
              <w:t>分。</w:t>
            </w:r>
          </w:p>
          <w:p>
            <w:pPr>
              <w:widowControl/>
              <w:autoSpaceDE w:val="0"/>
              <w:autoSpaceDN w:val="0"/>
              <w:adjustRightInd w:val="0"/>
              <w:spacing w:line="360" w:lineRule="auto"/>
              <w:ind w:firstLine="480" w:firstLineChars="200"/>
              <w:rPr>
                <w:rFonts w:ascii="仿宋" w:hAnsi="仿宋" w:eastAsia="仿宋"/>
                <w:sz w:val="24"/>
                <w:szCs w:val="24"/>
              </w:rPr>
            </w:pPr>
            <w:r>
              <w:rPr>
                <w:rFonts w:hint="eastAsia" w:ascii="仿宋" w:hAnsi="仿宋" w:eastAsia="仿宋"/>
                <w:sz w:val="24"/>
                <w:szCs w:val="24"/>
              </w:rPr>
              <w:t>同类项目业绩提供服务合同、出具的报告等相关证明材料的关键页（合同封面、签字页、可说明服务内容相关页等）复印件并加盖公章，否则业绩不予认定。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25" w:type="dxa"/>
            <w:vAlign w:val="center"/>
          </w:tcPr>
          <w:p>
            <w:pPr>
              <w:autoSpaceDE w:val="0"/>
              <w:autoSpaceDN w:val="0"/>
              <w:adjustRightInd w:val="0"/>
              <w:spacing w:line="360" w:lineRule="auto"/>
              <w:jc w:val="center"/>
              <w:rPr>
                <w:rFonts w:ascii="仿宋" w:hAnsi="Calibri" w:eastAsia="仿宋" w:cs="仿宋"/>
                <w:sz w:val="24"/>
                <w:lang w:val="zh-CN"/>
              </w:rPr>
            </w:pPr>
            <w:r>
              <w:rPr>
                <w:rFonts w:hint="eastAsia" w:ascii="仿宋" w:hAnsi="Calibri" w:eastAsia="仿宋" w:cs="仿宋"/>
                <w:sz w:val="24"/>
                <w:lang w:val="zh-CN"/>
              </w:rPr>
              <w:t>企业资质</w:t>
            </w:r>
          </w:p>
        </w:tc>
        <w:tc>
          <w:tcPr>
            <w:tcW w:w="992" w:type="dxa"/>
            <w:vAlign w:val="center"/>
          </w:tcPr>
          <w:p>
            <w:pPr>
              <w:autoSpaceDE w:val="0"/>
              <w:autoSpaceDN w:val="0"/>
              <w:adjustRightInd w:val="0"/>
              <w:spacing w:line="360" w:lineRule="auto"/>
              <w:jc w:val="center"/>
              <w:rPr>
                <w:rFonts w:ascii="仿宋" w:hAnsi="Calibri" w:eastAsia="仿宋" w:cs="仿宋"/>
                <w:sz w:val="24"/>
              </w:rPr>
            </w:pPr>
            <w:r>
              <w:rPr>
                <w:rFonts w:ascii="仿宋" w:hAnsi="Calibri" w:eastAsia="仿宋" w:cs="仿宋"/>
                <w:sz w:val="24"/>
              </w:rPr>
              <w:t>35</w:t>
            </w:r>
            <w:r>
              <w:rPr>
                <w:rFonts w:hint="eastAsia" w:ascii="仿宋" w:hAnsi="Calibri" w:eastAsia="仿宋" w:cs="仿宋"/>
                <w:sz w:val="24"/>
              </w:rPr>
              <w:t>分</w:t>
            </w:r>
          </w:p>
        </w:tc>
        <w:tc>
          <w:tcPr>
            <w:tcW w:w="6769" w:type="dxa"/>
            <w:vAlign w:val="center"/>
          </w:tcPr>
          <w:p>
            <w:pPr>
              <w:widowControl/>
              <w:tabs>
                <w:tab w:val="left" w:pos="312"/>
              </w:tabs>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在中国注册会计师协会官网（https://www.cicpa.org.cn/xxfb/news/202209/t20220920_63681.html）发布的“2022年度会计师事务所综合评价百家排名信息”，</w:t>
            </w:r>
            <w:r>
              <w:rPr>
                <w:rFonts w:hint="eastAsia" w:ascii="仿宋" w:hAnsi="仿宋" w:eastAsia="仿宋" w:cs="仿宋"/>
                <w:sz w:val="24"/>
                <w:szCs w:val="24"/>
                <w:lang w:val="en-US" w:eastAsia="zh-CN"/>
              </w:rPr>
              <w:t>排名前五</w:t>
            </w:r>
            <w:r>
              <w:rPr>
                <w:rFonts w:hint="eastAsia" w:ascii="仿宋" w:hAnsi="仿宋" w:eastAsia="仿宋" w:cs="仿宋"/>
                <w:sz w:val="24"/>
                <w:szCs w:val="24"/>
              </w:rPr>
              <w:t>得35分，排</w:t>
            </w:r>
            <w:bookmarkStart w:id="2" w:name="_GoBack"/>
            <w:bookmarkEnd w:id="2"/>
            <w:r>
              <w:rPr>
                <w:rFonts w:hint="eastAsia" w:ascii="仿宋" w:hAnsi="仿宋" w:eastAsia="仿宋" w:cs="仿宋"/>
                <w:sz w:val="24"/>
                <w:szCs w:val="24"/>
              </w:rPr>
              <w:t>名第</w:t>
            </w:r>
            <w:r>
              <w:rPr>
                <w:rFonts w:hint="eastAsia" w:ascii="仿宋" w:hAnsi="仿宋" w:eastAsia="仿宋" w:cs="仿宋"/>
                <w:sz w:val="24"/>
                <w:szCs w:val="24"/>
                <w:lang w:val="en-US" w:eastAsia="zh-CN"/>
              </w:rPr>
              <w:t>六</w:t>
            </w:r>
            <w:r>
              <w:rPr>
                <w:rFonts w:hint="eastAsia" w:ascii="仿宋" w:hAnsi="仿宋" w:eastAsia="仿宋" w:cs="仿宋"/>
                <w:sz w:val="24"/>
                <w:szCs w:val="24"/>
              </w:rPr>
              <w:t>至第十的单位得</w:t>
            </w:r>
            <w:r>
              <w:rPr>
                <w:rFonts w:hint="eastAsia" w:ascii="仿宋" w:hAnsi="仿宋" w:eastAsia="仿宋" w:cs="仿宋"/>
                <w:sz w:val="24"/>
                <w:szCs w:val="24"/>
                <w:lang w:val="en-US" w:eastAsia="zh-CN"/>
              </w:rPr>
              <w:t>25</w:t>
            </w:r>
            <w:r>
              <w:rPr>
                <w:rFonts w:hint="eastAsia" w:ascii="仿宋" w:hAnsi="仿宋" w:eastAsia="仿宋" w:cs="仿宋"/>
                <w:sz w:val="24"/>
                <w:szCs w:val="24"/>
              </w:rPr>
              <w:t>分，排名第十一至第二十的单位得</w:t>
            </w:r>
            <w:r>
              <w:rPr>
                <w:rFonts w:hint="eastAsia" w:ascii="仿宋" w:hAnsi="仿宋" w:eastAsia="仿宋" w:cs="仿宋"/>
                <w:sz w:val="24"/>
                <w:szCs w:val="24"/>
                <w:lang w:val="en-US" w:eastAsia="zh-CN"/>
              </w:rPr>
              <w:t>15</w:t>
            </w:r>
            <w:r>
              <w:rPr>
                <w:rFonts w:hint="eastAsia" w:ascii="仿宋" w:hAnsi="仿宋" w:eastAsia="仿宋" w:cs="仿宋"/>
                <w:sz w:val="24"/>
                <w:szCs w:val="24"/>
              </w:rPr>
              <w:t>分，除以上排名入围的单位得</w:t>
            </w:r>
            <w:r>
              <w:rPr>
                <w:rFonts w:hint="eastAsia" w:ascii="仿宋" w:hAnsi="仿宋" w:eastAsia="仿宋" w:cs="仿宋"/>
                <w:sz w:val="24"/>
                <w:szCs w:val="24"/>
                <w:lang w:val="en-US" w:eastAsia="zh-CN"/>
              </w:rPr>
              <w:t>10</w:t>
            </w:r>
            <w:r>
              <w:rPr>
                <w:rFonts w:hint="eastAsia" w:ascii="仿宋" w:hAnsi="仿宋" w:eastAsia="仿宋" w:cs="仿宋"/>
                <w:sz w:val="24"/>
                <w:szCs w:val="24"/>
              </w:rPr>
              <w:t>分，其余不得分。</w:t>
            </w:r>
          </w:p>
          <w:p>
            <w:pPr>
              <w:widowControl/>
              <w:tabs>
                <w:tab w:val="left" w:pos="312"/>
              </w:tabs>
              <w:autoSpaceDE w:val="0"/>
              <w:autoSpaceDN w:val="0"/>
              <w:adjustRightInd w:val="0"/>
              <w:spacing w:line="360" w:lineRule="auto"/>
              <w:ind w:firstLine="480" w:firstLineChars="200"/>
              <w:rPr>
                <w:rFonts w:ascii="仿宋" w:hAnsi="仿宋" w:eastAsia="仿宋"/>
                <w:sz w:val="24"/>
                <w:szCs w:val="24"/>
                <w:highlight w:val="yellow"/>
              </w:rPr>
            </w:pPr>
            <w:r>
              <w:rPr>
                <w:rFonts w:hint="eastAsia" w:ascii="仿宋" w:hAnsi="仿宋" w:eastAsia="仿宋"/>
                <w:sz w:val="24"/>
                <w:szCs w:val="24"/>
              </w:rPr>
              <w:t>报价单位须是以上排名中的会计师事务所对应的咨询服务实体，否则企业资质不予认定。</w:t>
            </w:r>
          </w:p>
        </w:tc>
      </w:tr>
    </w:tbl>
    <w:p>
      <w:pPr>
        <w:spacing w:line="560" w:lineRule="exact"/>
        <w:ind w:left="220" w:firstLine="420"/>
        <w:outlineLvl w:val="0"/>
        <w:rPr>
          <w:rFonts w:ascii="黑体" w:hAnsi="黑体" w:eastAsia="黑体" w:cs="仿宋"/>
        </w:rPr>
      </w:pPr>
      <w:r>
        <w:rPr>
          <w:rFonts w:hint="eastAsia" w:ascii="黑体" w:hAnsi="黑体" w:eastAsia="黑体" w:cs="仿宋"/>
        </w:rPr>
        <w:t>七、报价截止时间、形式</w:t>
      </w:r>
    </w:p>
    <w:p>
      <w:pPr>
        <w:spacing w:line="560" w:lineRule="exact"/>
        <w:ind w:left="220" w:firstLine="420"/>
        <w:outlineLvl w:val="0"/>
        <w:rPr>
          <w:rFonts w:ascii="仿宋_GB2312" w:hAnsi="仿宋_GB2312" w:cs="仿宋_GB2312"/>
        </w:rPr>
      </w:pPr>
      <w:r>
        <w:rPr>
          <w:rFonts w:hint="eastAsia" w:ascii="仿宋_GB2312" w:hAnsi="仿宋_GB2312" w:cs="仿宋_GB2312"/>
        </w:rPr>
        <w:t>1.报价截止时间：202</w:t>
      </w:r>
      <w:r>
        <w:rPr>
          <w:rFonts w:hint="eastAsia" w:ascii="仿宋_GB2312" w:hAnsi="仿宋_GB2312" w:cs="仿宋_GB2312"/>
          <w:lang w:val="en-US" w:eastAsia="zh-CN"/>
        </w:rPr>
        <w:t>4</w:t>
      </w:r>
      <w:r>
        <w:rPr>
          <w:rFonts w:hint="eastAsia" w:ascii="仿宋_GB2312" w:hAnsi="仿宋_GB2312" w:cs="仿宋_GB2312"/>
        </w:rPr>
        <w:t>年1月</w:t>
      </w:r>
      <w:r>
        <w:rPr>
          <w:rFonts w:hint="eastAsia" w:ascii="仿宋_GB2312" w:hAnsi="仿宋_GB2312" w:cs="仿宋_GB2312"/>
          <w:lang w:val="en-US" w:eastAsia="zh-CN"/>
        </w:rPr>
        <w:t>2</w:t>
      </w:r>
      <w:r>
        <w:rPr>
          <w:rFonts w:hint="eastAsia" w:ascii="仿宋_GB2312" w:hAnsi="仿宋_GB2312" w:cs="仿宋_GB2312"/>
        </w:rPr>
        <w:t>日</w:t>
      </w:r>
      <w:r>
        <w:rPr>
          <w:rFonts w:hint="eastAsia" w:ascii="仿宋_GB2312" w:hAnsi="仿宋_GB2312" w:cs="仿宋_GB2312"/>
          <w:lang w:val="en-US" w:eastAsia="zh-CN"/>
        </w:rPr>
        <w:t>9</w:t>
      </w:r>
      <w:r>
        <w:rPr>
          <w:rFonts w:hint="eastAsia" w:ascii="仿宋_GB2312" w:hAnsi="仿宋_GB2312" w:cs="仿宋_GB2312"/>
        </w:rPr>
        <w:t xml:space="preserve"> ：</w:t>
      </w:r>
      <w:r>
        <w:rPr>
          <w:rFonts w:hint="eastAsia" w:ascii="仿宋_GB2312" w:hAnsi="仿宋_GB2312" w:cs="仿宋_GB2312"/>
          <w:lang w:val="en-US" w:eastAsia="zh-CN"/>
        </w:rPr>
        <w:t>0</w:t>
      </w:r>
      <w:r>
        <w:rPr>
          <w:rFonts w:hint="eastAsia" w:ascii="仿宋_GB2312" w:hAnsi="仿宋_GB2312" w:cs="仿宋_GB2312"/>
        </w:rPr>
        <w:t>0。</w:t>
      </w:r>
    </w:p>
    <w:p>
      <w:pPr>
        <w:spacing w:line="560" w:lineRule="exact"/>
        <w:ind w:left="220" w:firstLine="420"/>
        <w:outlineLvl w:val="0"/>
        <w:rPr>
          <w:rFonts w:ascii="仿宋_GB2312" w:hAnsi="仿宋_GB2312" w:cs="仿宋_GB2312"/>
        </w:rPr>
      </w:pPr>
      <w:r>
        <w:rPr>
          <w:rFonts w:hint="eastAsia" w:ascii="仿宋_GB2312" w:hAnsi="仿宋_GB2312" w:cs="仿宋_GB2312"/>
        </w:rPr>
        <w:t>2.报价形式：报价文件可采取邮寄或现场递交的形式。</w:t>
      </w:r>
    </w:p>
    <w:p>
      <w:pPr>
        <w:spacing w:line="560" w:lineRule="exact"/>
        <w:ind w:left="220" w:firstLine="420"/>
        <w:outlineLvl w:val="0"/>
        <w:rPr>
          <w:rFonts w:ascii="仿宋_GB2312" w:hAnsi="仿宋_GB2312" w:cs="仿宋_GB2312"/>
        </w:rPr>
      </w:pPr>
      <w:r>
        <w:rPr>
          <w:rFonts w:hint="eastAsia" w:ascii="仿宋_GB2312" w:hAnsi="仿宋_GB2312" w:cs="仿宋_GB2312"/>
        </w:rPr>
        <w:t>报价文件需按照附件4格式进行密封，并在第1条所示报价截止时间前将报价材料送达到第3条所示邮寄地址。如未在报价截止时间前送达则报价无效。</w:t>
      </w:r>
    </w:p>
    <w:p>
      <w:pPr>
        <w:spacing w:line="560" w:lineRule="exact"/>
        <w:ind w:left="220" w:firstLine="420"/>
        <w:outlineLvl w:val="0"/>
        <w:rPr>
          <w:rFonts w:ascii="仿宋_GB2312" w:hAnsi="仿宋_GB2312" w:cs="仿宋_GB2312"/>
        </w:rPr>
      </w:pPr>
      <w:r>
        <w:rPr>
          <w:rFonts w:hint="eastAsia" w:ascii="仿宋_GB2312" w:hAnsi="仿宋_GB2312" w:cs="仿宋_GB2312"/>
        </w:rPr>
        <w:t>3.邮寄地址：青岛市崂山区香港东路195号上实中心T2城投大厦15楼。</w:t>
      </w:r>
    </w:p>
    <w:p>
      <w:pPr>
        <w:spacing w:line="560" w:lineRule="exact"/>
        <w:ind w:left="220" w:firstLine="420"/>
        <w:outlineLvl w:val="0"/>
        <w:rPr>
          <w:rFonts w:ascii="黑体" w:hAnsi="黑体" w:eastAsia="黑体" w:cs="仿宋"/>
        </w:rPr>
      </w:pPr>
      <w:r>
        <w:rPr>
          <w:rFonts w:hint="eastAsia" w:ascii="黑体" w:hAnsi="黑体" w:eastAsia="黑体" w:cs="仿宋"/>
        </w:rPr>
        <w:t>八、公告期限</w:t>
      </w:r>
    </w:p>
    <w:p>
      <w:pPr>
        <w:spacing w:line="560" w:lineRule="exact"/>
        <w:ind w:firstLine="640" w:firstLineChars="200"/>
        <w:outlineLvl w:val="0"/>
        <w:rPr>
          <w:rFonts w:ascii="仿宋_GB2312" w:hAnsi="仿宋_GB2312" w:cs="仿宋_GB2312"/>
        </w:rPr>
      </w:pPr>
      <w:r>
        <w:rPr>
          <w:rFonts w:hint="eastAsia" w:ascii="仿宋_GB2312" w:hAnsi="仿宋_GB2312" w:cs="仿宋_GB2312"/>
        </w:rPr>
        <w:t>自本项目公告发出之日起至报价截止时间止。</w:t>
      </w:r>
    </w:p>
    <w:p>
      <w:pPr>
        <w:spacing w:line="560" w:lineRule="exact"/>
        <w:ind w:firstLine="640" w:firstLineChars="200"/>
        <w:outlineLvl w:val="0"/>
        <w:rPr>
          <w:rFonts w:ascii="黑体" w:hAnsi="黑体" w:eastAsia="黑体" w:cs="仿宋"/>
        </w:rPr>
      </w:pPr>
      <w:r>
        <w:rPr>
          <w:rFonts w:hint="eastAsia" w:ascii="黑体" w:hAnsi="黑体" w:eastAsia="黑体" w:cs="仿宋"/>
        </w:rPr>
        <w:t>九、联系方式</w:t>
      </w:r>
    </w:p>
    <w:p>
      <w:pPr>
        <w:spacing w:line="560" w:lineRule="exact"/>
        <w:ind w:firstLine="640" w:firstLineChars="200"/>
        <w:rPr>
          <w:rFonts w:ascii="仿宋_GB2312" w:hAnsi="仿宋_GB2312" w:cs="仿宋_GB2312"/>
        </w:rPr>
      </w:pPr>
      <w:r>
        <w:rPr>
          <w:rFonts w:hint="eastAsia" w:ascii="仿宋_GB2312" w:hAnsi="仿宋_GB2312" w:cs="仿宋_GB2312"/>
        </w:rPr>
        <w:t>联系人：</w:t>
      </w:r>
      <w:r>
        <w:rPr>
          <w:rFonts w:hint="eastAsia" w:ascii="仿宋_GB2312" w:hAnsi="仿宋_GB2312" w:cs="仿宋_GB2312"/>
          <w:lang w:eastAsia="zh-Hans"/>
        </w:rPr>
        <w:t>曲科</w:t>
      </w:r>
      <w:r>
        <w:rPr>
          <w:rFonts w:hint="eastAsia" w:ascii="仿宋_GB2312" w:hAnsi="仿宋_GB2312" w:cs="仿宋_GB2312"/>
        </w:rPr>
        <w:t xml:space="preserve">                   </w:t>
      </w:r>
    </w:p>
    <w:p>
      <w:pPr>
        <w:spacing w:line="560" w:lineRule="exact"/>
        <w:ind w:firstLine="640" w:firstLineChars="200"/>
        <w:jc w:val="left"/>
        <w:rPr>
          <w:rFonts w:hint="default" w:ascii="仿宋_GB2312" w:hAnsi="仿宋_GB2312" w:eastAsia="仿宋_GB2312" w:cs="仿宋_GB2312"/>
          <w:lang w:val="en-US" w:eastAsia="zh-CN"/>
        </w:rPr>
      </w:pPr>
      <w:r>
        <w:rPr>
          <w:rFonts w:hint="eastAsia" w:ascii="仿宋_GB2312" w:hAnsi="仿宋_GB2312" w:cs="仿宋_GB2312"/>
        </w:rPr>
        <w:t>联系电话：</w:t>
      </w:r>
      <w:r>
        <w:rPr>
          <w:rFonts w:hint="eastAsia" w:ascii="仿宋_GB2312" w:hAnsi="仿宋_GB2312" w:cs="仿宋_GB2312"/>
          <w:lang w:val="en-US" w:eastAsia="zh-CN"/>
        </w:rPr>
        <w:t>0532-67781975</w:t>
      </w:r>
    </w:p>
    <w:p>
      <w:pPr>
        <w:tabs>
          <w:tab w:val="left" w:pos="1080"/>
        </w:tabs>
        <w:spacing w:line="560" w:lineRule="exact"/>
        <w:ind w:right="210" w:firstLine="640" w:firstLineChars="200"/>
        <w:rPr>
          <w:rFonts w:ascii="仿宋" w:hAnsi="仿宋" w:eastAsia="仿宋" w:cs="仿宋"/>
        </w:rPr>
      </w:pPr>
      <w:r>
        <w:rPr>
          <w:rFonts w:hint="eastAsia" w:ascii="仿宋" w:hAnsi="仿宋" w:eastAsia="仿宋" w:cs="仿宋"/>
        </w:rPr>
        <w:t xml:space="preserve"> </w:t>
      </w:r>
    </w:p>
    <w:p>
      <w:pPr>
        <w:widowControl/>
        <w:spacing w:line="560" w:lineRule="exact"/>
        <w:ind w:firstLine="640" w:firstLineChars="200"/>
        <w:jc w:val="center"/>
        <w:rPr>
          <w:rFonts w:ascii="仿宋" w:hAnsi="仿宋" w:eastAsia="仿宋" w:cs="仿宋"/>
        </w:rPr>
      </w:pPr>
      <w:r>
        <w:rPr>
          <w:rFonts w:hint="eastAsia" w:ascii="仿宋" w:hAnsi="仿宋" w:eastAsia="仿宋" w:cs="仿宋"/>
        </w:rPr>
        <w:t xml:space="preserve"> </w:t>
      </w:r>
    </w:p>
    <w:p>
      <w:pPr>
        <w:spacing w:line="560" w:lineRule="exact"/>
        <w:ind w:firstLine="640" w:firstLineChars="200"/>
        <w:jc w:val="right"/>
        <w:rPr>
          <w:rFonts w:ascii="仿宋_GB2312" w:hAnsi="仿宋_GB2312" w:cs="仿宋_GB2312"/>
          <w:highlight w:val="yellow"/>
        </w:rPr>
      </w:pPr>
      <w:bookmarkStart w:id="1" w:name="_Hlk115686981"/>
      <w:r>
        <w:rPr>
          <w:rFonts w:hint="eastAsia" w:ascii="仿宋_GB2312" w:hAnsi="仿宋_GB2312" w:cs="仿宋_GB2312"/>
        </w:rPr>
        <w:t>青岛城投新能源投资有限公司</w:t>
      </w:r>
    </w:p>
    <w:bookmarkEnd w:id="1"/>
    <w:p>
      <w:pPr>
        <w:spacing w:line="560" w:lineRule="exact"/>
        <w:ind w:firstLine="640" w:firstLineChars="200"/>
        <w:jc w:val="right"/>
        <w:rPr>
          <w:rFonts w:ascii="仿宋_GB2312" w:hAnsi="仿宋_GB2312" w:cs="仿宋_GB2312"/>
        </w:rPr>
      </w:pPr>
      <w:r>
        <w:rPr>
          <w:rFonts w:hint="eastAsia" w:ascii="仿宋_GB2312" w:hAnsi="仿宋_GB2312" w:cs="仿宋_GB2312"/>
        </w:rPr>
        <w:t>2023年</w:t>
      </w:r>
      <w:r>
        <w:rPr>
          <w:rFonts w:hint="eastAsia" w:ascii="仿宋_GB2312" w:hAnsi="仿宋_GB2312" w:cs="仿宋_GB2312"/>
          <w:lang w:val="en-US" w:eastAsia="zh-CN"/>
        </w:rPr>
        <w:t>12</w:t>
      </w:r>
      <w:r>
        <w:rPr>
          <w:rFonts w:hint="eastAsia" w:ascii="仿宋_GB2312" w:hAnsi="仿宋_GB2312" w:cs="仿宋_GB2312"/>
        </w:rPr>
        <w:t>月</w:t>
      </w:r>
      <w:r>
        <w:rPr>
          <w:rFonts w:hint="eastAsia" w:ascii="仿宋_GB2312" w:hAnsi="仿宋_GB2312" w:cs="仿宋_GB2312"/>
          <w:lang w:val="en-US" w:eastAsia="zh-CN"/>
        </w:rPr>
        <w:t>29</w:t>
      </w:r>
      <w:r>
        <w:rPr>
          <w:rFonts w:hint="eastAsia" w:ascii="仿宋_GB2312" w:hAnsi="仿宋_GB2312" w:cs="仿宋_GB2312"/>
        </w:rPr>
        <w:t>日</w:t>
      </w:r>
    </w:p>
    <w:p>
      <w:pPr>
        <w:widowControl/>
        <w:spacing w:line="560" w:lineRule="exact"/>
        <w:ind w:firstLine="640" w:firstLineChars="200"/>
        <w:jc w:val="center"/>
        <w:rPr>
          <w:rFonts w:ascii="仿宋_GB2312" w:hAnsi="仿宋_GB2312" w:cs="仿宋_GB2312"/>
        </w:rPr>
      </w:pPr>
    </w:p>
    <w:p>
      <w:pPr>
        <w:widowControl/>
        <w:jc w:val="left"/>
        <w:rPr>
          <w:rFonts w:ascii="仿宋" w:hAnsi="仿宋" w:eastAsia="仿宋" w:cs="仿宋"/>
        </w:rPr>
      </w:pPr>
      <w:r>
        <w:rPr>
          <w:rFonts w:ascii="仿宋" w:hAnsi="仿宋" w:eastAsia="仿宋" w:cs="仿宋"/>
        </w:rPr>
        <w:br w:type="page"/>
      </w:r>
      <w:r>
        <w:rPr>
          <w:rFonts w:hint="eastAsia" w:ascii="仿宋" w:hAnsi="仿宋" w:eastAsia="仿宋" w:cs="仿宋"/>
        </w:rPr>
        <w:t>附件1</w:t>
      </w:r>
    </w:p>
    <w:p>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确认函</w:t>
      </w:r>
    </w:p>
    <w:p>
      <w:pPr>
        <w:spacing w:line="560" w:lineRule="exact"/>
        <w:rPr>
          <w:rFonts w:ascii="仿宋" w:hAnsi="仿宋" w:eastAsia="仿宋" w:cs="仿宋"/>
        </w:rPr>
      </w:pPr>
    </w:p>
    <w:p>
      <w:pPr>
        <w:spacing w:line="560" w:lineRule="exact"/>
        <w:rPr>
          <w:rFonts w:ascii="仿宋" w:hAnsi="仿宋" w:eastAsia="仿宋" w:cs="仿宋"/>
        </w:rPr>
      </w:pPr>
      <w:r>
        <w:rPr>
          <w:rFonts w:hint="eastAsia" w:ascii="仿宋" w:hAnsi="仿宋" w:eastAsia="仿宋" w:cs="仿宋"/>
        </w:rPr>
        <w:t>致：</w:t>
      </w:r>
      <w:r>
        <w:rPr>
          <w:rFonts w:hint="eastAsia" w:ascii="仿宋" w:hAnsi="仿宋" w:eastAsia="仿宋" w:cs="仿宋"/>
          <w:u w:val="single"/>
        </w:rPr>
        <w:t>青岛城投新能源投资有限公司</w:t>
      </w:r>
    </w:p>
    <w:p>
      <w:pPr>
        <w:spacing w:line="560" w:lineRule="exact"/>
        <w:ind w:firstLine="640" w:firstLineChars="200"/>
        <w:rPr>
          <w:rFonts w:ascii="仿宋" w:hAnsi="仿宋" w:eastAsia="仿宋" w:cs="仿宋"/>
        </w:rPr>
      </w:pPr>
      <w:r>
        <w:rPr>
          <w:rFonts w:hint="eastAsia" w:ascii="仿宋" w:hAnsi="仿宋" w:eastAsia="仿宋" w:cs="仿宋"/>
        </w:rPr>
        <w:t>经仔细研究，我方已完全理解并全部接受贵方</w:t>
      </w:r>
      <w:r>
        <w:rPr>
          <w:rFonts w:hint="eastAsia" w:ascii="仿宋" w:hAnsi="仿宋" w:eastAsia="仿宋" w:cs="仿宋"/>
          <w:u w:val="single"/>
        </w:rPr>
        <w:t>光伏项目资产并购财务顾问服务</w:t>
      </w:r>
      <w:r>
        <w:rPr>
          <w:rFonts w:hint="eastAsia" w:ascii="仿宋" w:hAnsi="仿宋" w:eastAsia="仿宋" w:cs="仿宋"/>
        </w:rPr>
        <w:t>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rPr>
      </w:pPr>
      <w:r>
        <w:rPr>
          <w:rFonts w:hint="eastAsia" w:ascii="仿宋" w:hAnsi="仿宋" w:eastAsia="仿宋" w:cs="仿宋"/>
        </w:rPr>
        <w:t>1.我方报价已考虑了公告所要求的所有内容。</w:t>
      </w:r>
    </w:p>
    <w:p>
      <w:pPr>
        <w:spacing w:line="560" w:lineRule="exact"/>
        <w:ind w:firstLine="640" w:firstLineChars="200"/>
        <w:rPr>
          <w:rFonts w:ascii="仿宋" w:hAnsi="仿宋" w:eastAsia="仿宋" w:cs="仿宋"/>
        </w:rPr>
      </w:pPr>
      <w:r>
        <w:rPr>
          <w:rFonts w:hint="eastAsia" w:ascii="仿宋" w:hAnsi="仿宋" w:eastAsia="仿宋" w:cs="仿宋"/>
        </w:rPr>
        <w:t>2.我方保证能按照公告要求的服务范围、内容，优质高效地完成委托任务。</w:t>
      </w:r>
    </w:p>
    <w:p>
      <w:pPr>
        <w:spacing w:line="560" w:lineRule="exact"/>
        <w:ind w:firstLine="640" w:firstLineChars="200"/>
        <w:rPr>
          <w:rFonts w:ascii="仿宋" w:hAnsi="仿宋" w:eastAsia="仿宋" w:cs="仿宋"/>
        </w:rPr>
      </w:pPr>
      <w:r>
        <w:rPr>
          <w:rFonts w:hint="eastAsia" w:ascii="仿宋" w:hAnsi="仿宋" w:eastAsia="仿宋" w:cs="仿宋"/>
        </w:rPr>
        <w:t>3.我方保证做到公正、保密。</w:t>
      </w:r>
    </w:p>
    <w:p>
      <w:pPr>
        <w:spacing w:line="560" w:lineRule="exact"/>
        <w:ind w:firstLine="640" w:firstLineChars="200"/>
        <w:rPr>
          <w:rFonts w:ascii="仿宋" w:hAnsi="仿宋" w:eastAsia="仿宋" w:cs="仿宋"/>
        </w:rPr>
      </w:pPr>
      <w:r>
        <w:rPr>
          <w:rFonts w:hint="eastAsia" w:ascii="仿宋" w:hAnsi="仿宋" w:eastAsia="仿宋" w:cs="仿宋"/>
        </w:rPr>
        <w:t>4.我方承诺对所有提交的成果承担法律责任。</w:t>
      </w:r>
    </w:p>
    <w:p>
      <w:pPr>
        <w:spacing w:line="560" w:lineRule="exact"/>
        <w:ind w:firstLine="640" w:firstLineChars="200"/>
        <w:rPr>
          <w:rFonts w:ascii="仿宋" w:hAnsi="仿宋" w:eastAsia="仿宋" w:cs="仿宋"/>
        </w:rPr>
      </w:pPr>
      <w:r>
        <w:rPr>
          <w:rFonts w:hint="eastAsia" w:ascii="仿宋" w:hAnsi="仿宋" w:eastAsia="仿宋" w:cs="仿宋"/>
        </w:rPr>
        <w:t>5.我方同意承担报价所发生的一切费用。</w:t>
      </w:r>
    </w:p>
    <w:p>
      <w:pPr>
        <w:spacing w:line="560" w:lineRule="exact"/>
        <w:rPr>
          <w:rFonts w:ascii="仿宋" w:hAnsi="仿宋" w:eastAsia="仿宋" w:cs="仿宋"/>
        </w:rPr>
      </w:pPr>
    </w:p>
    <w:p>
      <w:pPr>
        <w:spacing w:line="560" w:lineRule="exact"/>
        <w:rPr>
          <w:rFonts w:ascii="仿宋" w:hAnsi="仿宋" w:eastAsia="仿宋" w:cs="仿宋"/>
        </w:rPr>
      </w:pPr>
    </w:p>
    <w:p>
      <w:pPr>
        <w:spacing w:line="560" w:lineRule="exact"/>
        <w:rPr>
          <w:rFonts w:ascii="仿宋" w:hAnsi="仿宋" w:eastAsia="仿宋"/>
          <w:u w:val="single"/>
        </w:rPr>
      </w:pPr>
      <w:r>
        <w:rPr>
          <w:rFonts w:hint="eastAsia" w:ascii="仿宋" w:hAnsi="仿宋" w:eastAsia="仿宋"/>
        </w:rPr>
        <w:t xml:space="preserve">报价单位名称（公章）：                 </w:t>
      </w:r>
    </w:p>
    <w:p>
      <w:pPr>
        <w:spacing w:line="560" w:lineRule="exact"/>
        <w:rPr>
          <w:rFonts w:ascii="仿宋" w:hAnsi="仿宋" w:eastAsia="仿宋" w:cs="宋体"/>
        </w:rPr>
      </w:pPr>
      <w:r>
        <w:rPr>
          <w:rFonts w:hint="eastAsia" w:ascii="仿宋" w:hAnsi="仿宋" w:eastAsia="仿宋" w:cs="宋体"/>
        </w:rPr>
        <w:t>报价单位法定代表人或者被授权代表：</w:t>
      </w:r>
    </w:p>
    <w:p>
      <w:pPr>
        <w:spacing w:line="560" w:lineRule="exact"/>
        <w:rPr>
          <w:rFonts w:ascii="仿宋" w:hAnsi="仿宋" w:eastAsia="仿宋"/>
        </w:rPr>
      </w:pPr>
      <w:r>
        <w:rPr>
          <w:rFonts w:hint="eastAsia" w:ascii="仿宋" w:hAnsi="仿宋" w:eastAsia="仿宋" w:cs="宋体"/>
        </w:rPr>
        <w:t xml:space="preserve">时间： </w:t>
      </w:r>
      <w:r>
        <w:rPr>
          <w:rFonts w:ascii="仿宋" w:hAnsi="仿宋" w:eastAsia="仿宋" w:cs="宋体"/>
        </w:rPr>
        <w:t xml:space="preserve">  </w:t>
      </w:r>
      <w:r>
        <w:rPr>
          <w:rFonts w:hint="eastAsia" w:ascii="仿宋" w:hAnsi="仿宋" w:eastAsia="仿宋" w:cs="宋体"/>
        </w:rPr>
        <w:t xml:space="preserve">年 </w:t>
      </w:r>
      <w:r>
        <w:rPr>
          <w:rFonts w:ascii="仿宋" w:hAnsi="仿宋" w:eastAsia="仿宋" w:cs="宋体"/>
        </w:rPr>
        <w:t xml:space="preserve"> </w:t>
      </w:r>
      <w:r>
        <w:rPr>
          <w:rFonts w:hint="eastAsia" w:ascii="仿宋" w:hAnsi="仿宋" w:eastAsia="仿宋" w:cs="宋体"/>
        </w:rPr>
        <w:t xml:space="preserve">月 </w:t>
      </w:r>
      <w:r>
        <w:rPr>
          <w:rFonts w:ascii="仿宋" w:hAnsi="仿宋" w:eastAsia="仿宋" w:cs="宋体"/>
        </w:rPr>
        <w:t xml:space="preserve"> </w:t>
      </w:r>
      <w:r>
        <w:rPr>
          <w:rFonts w:hint="eastAsia" w:ascii="仿宋" w:hAnsi="仿宋" w:eastAsia="仿宋" w:cs="宋体"/>
        </w:rPr>
        <w:t>日</w:t>
      </w:r>
    </w:p>
    <w:p>
      <w:pPr>
        <w:spacing w:line="560" w:lineRule="exact"/>
        <w:rPr>
          <w:rFonts w:ascii="仿宋" w:hAnsi="仿宋" w:eastAsia="仿宋" w:cs="仿宋_GB2312"/>
          <w:b/>
          <w:color w:val="333333"/>
          <w:kern w:val="0"/>
        </w:rPr>
      </w:pPr>
    </w:p>
    <w:p>
      <w:pPr>
        <w:rPr>
          <w:rFonts w:ascii="仿宋" w:hAnsi="仿宋" w:eastAsia="仿宋" w:cs="仿宋"/>
        </w:rPr>
      </w:pPr>
      <w:r>
        <w:rPr>
          <w:rFonts w:hint="eastAsia" w:ascii="仿宋_GB2312" w:hAnsi="仿宋_GB2312" w:cs="仿宋_GB2312"/>
          <w:b/>
          <w:color w:val="333333"/>
          <w:kern w:val="0"/>
        </w:rPr>
        <w:br w:type="page"/>
      </w:r>
    </w:p>
    <w:p>
      <w:pPr>
        <w:outlineLvl w:val="0"/>
        <w:rPr>
          <w:rFonts w:ascii="仿宋" w:hAnsi="仿宋" w:eastAsia="仿宋" w:cs="仿宋"/>
        </w:rPr>
      </w:pPr>
      <w:r>
        <w:rPr>
          <w:rFonts w:hint="eastAsia" w:ascii="仿宋" w:hAnsi="仿宋" w:eastAsia="仿宋" w:cs="仿宋"/>
        </w:rPr>
        <w:t xml:space="preserve">附件2                          </w:t>
      </w:r>
    </w:p>
    <w:p>
      <w:pPr>
        <w:pStyle w:val="36"/>
        <w:spacing w:before="0" w:beforeAutospacing="0" w:after="0" w:afterAutospacing="0" w:line="240" w:lineRule="atLeast"/>
      </w:pPr>
    </w:p>
    <w:p>
      <w:pPr>
        <w:spacing w:line="560" w:lineRule="exact"/>
        <w:jc w:val="center"/>
        <w:rPr>
          <w:rFonts w:ascii="仿宋" w:hAnsi="仿宋" w:eastAsia="仿宋" w:cs="仿宋"/>
        </w:rPr>
      </w:pPr>
      <w:r>
        <w:rPr>
          <w:rFonts w:hint="eastAsia" w:ascii="方正小标宋简体" w:hAnsi="仿宋" w:eastAsia="方正小标宋简体" w:cs="仿宋"/>
          <w:sz w:val="44"/>
          <w:szCs w:val="44"/>
        </w:rPr>
        <w:t>财务顾问服务报价单</w:t>
      </w:r>
    </w:p>
    <w:p>
      <w:pPr>
        <w:pStyle w:val="34"/>
      </w:pPr>
    </w:p>
    <w:tbl>
      <w:tblPr>
        <w:tblStyle w:val="2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63"/>
        <w:gridCol w:w="396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spacing w:line="64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2263" w:type="dxa"/>
            <w:vAlign w:val="center"/>
          </w:tcPr>
          <w:p>
            <w:pPr>
              <w:spacing w:line="640" w:lineRule="exact"/>
              <w:jc w:val="center"/>
              <w:rPr>
                <w:rFonts w:ascii="宋体" w:hAnsi="宋体" w:eastAsia="宋体" w:cs="宋体"/>
                <w:b/>
                <w:sz w:val="28"/>
                <w:szCs w:val="28"/>
              </w:rPr>
            </w:pPr>
            <w:r>
              <w:rPr>
                <w:rFonts w:hint="eastAsia" w:ascii="宋体" w:hAnsi="宋体" w:eastAsia="宋体" w:cs="宋体"/>
                <w:b/>
                <w:sz w:val="28"/>
                <w:szCs w:val="28"/>
              </w:rPr>
              <w:t>项目名称</w:t>
            </w:r>
          </w:p>
        </w:tc>
        <w:tc>
          <w:tcPr>
            <w:tcW w:w="3969" w:type="dxa"/>
            <w:vAlign w:val="center"/>
          </w:tcPr>
          <w:p>
            <w:pPr>
              <w:spacing w:line="640" w:lineRule="exact"/>
              <w:jc w:val="center"/>
              <w:rPr>
                <w:rFonts w:ascii="宋体" w:hAnsi="宋体" w:eastAsia="宋体" w:cs="宋体"/>
                <w:b/>
                <w:sz w:val="28"/>
                <w:szCs w:val="28"/>
              </w:rPr>
            </w:pPr>
            <w:r>
              <w:rPr>
                <w:rFonts w:hint="eastAsia" w:ascii="宋体" w:hAnsi="宋体" w:eastAsia="宋体" w:cs="宋体"/>
                <w:b/>
                <w:sz w:val="28"/>
                <w:szCs w:val="28"/>
              </w:rPr>
              <w:t>服务要求</w:t>
            </w:r>
          </w:p>
        </w:tc>
        <w:tc>
          <w:tcPr>
            <w:tcW w:w="2410" w:type="dxa"/>
            <w:vAlign w:val="center"/>
          </w:tcPr>
          <w:p>
            <w:pPr>
              <w:spacing w:line="640" w:lineRule="exact"/>
              <w:jc w:val="center"/>
              <w:rPr>
                <w:rFonts w:ascii="宋体" w:hAnsi="宋体" w:eastAsia="宋体" w:cs="宋体"/>
                <w:b/>
                <w:sz w:val="28"/>
                <w:szCs w:val="28"/>
              </w:rPr>
            </w:pPr>
            <w:r>
              <w:rPr>
                <w:rFonts w:hint="eastAsia" w:ascii="宋体" w:hAnsi="宋体" w:eastAsia="宋体" w:cs="宋体"/>
                <w:b/>
                <w:sz w:val="28"/>
                <w:szCs w:val="28"/>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spacing w:line="640" w:lineRule="exact"/>
              <w:jc w:val="center"/>
              <w:rPr>
                <w:rFonts w:ascii="宋体" w:hAnsi="宋体" w:eastAsia="宋体" w:cs="宋体"/>
                <w:bCs/>
                <w:sz w:val="28"/>
                <w:szCs w:val="28"/>
              </w:rPr>
            </w:pPr>
            <w:r>
              <w:rPr>
                <w:rFonts w:hint="eastAsia" w:ascii="宋体" w:hAnsi="宋体" w:eastAsia="宋体" w:cs="宋体"/>
                <w:bCs/>
                <w:sz w:val="28"/>
                <w:szCs w:val="28"/>
              </w:rPr>
              <w:t>1</w:t>
            </w:r>
          </w:p>
        </w:tc>
        <w:tc>
          <w:tcPr>
            <w:tcW w:w="2263" w:type="dxa"/>
            <w:vAlign w:val="center"/>
          </w:tcPr>
          <w:p>
            <w:pPr>
              <w:spacing w:line="640" w:lineRule="exact"/>
              <w:jc w:val="center"/>
              <w:rPr>
                <w:rFonts w:ascii="宋体" w:hAnsi="宋体" w:eastAsia="宋体" w:cs="宋体"/>
                <w:bCs/>
                <w:sz w:val="28"/>
                <w:szCs w:val="28"/>
              </w:rPr>
            </w:pPr>
          </w:p>
          <w:p>
            <w:pPr>
              <w:spacing w:line="640" w:lineRule="exact"/>
              <w:jc w:val="center"/>
              <w:rPr>
                <w:rFonts w:ascii="宋体" w:hAnsi="宋体" w:eastAsia="宋体" w:cs="宋体"/>
                <w:bCs/>
                <w:sz w:val="28"/>
                <w:szCs w:val="28"/>
              </w:rPr>
            </w:pPr>
            <w:r>
              <w:rPr>
                <w:rFonts w:hint="eastAsia" w:ascii="宋体" w:hAnsi="宋体" w:eastAsia="宋体" w:cs="宋体"/>
                <w:bCs/>
                <w:sz w:val="28"/>
                <w:szCs w:val="28"/>
              </w:rPr>
              <w:t>光伏项目资产并购财务顾问服务</w:t>
            </w:r>
          </w:p>
          <w:p>
            <w:pPr>
              <w:spacing w:line="640" w:lineRule="exact"/>
              <w:jc w:val="center"/>
              <w:rPr>
                <w:rFonts w:ascii="宋体" w:hAnsi="宋体" w:eastAsia="宋体" w:cs="宋体"/>
                <w:bCs/>
                <w:sz w:val="28"/>
                <w:szCs w:val="28"/>
              </w:rPr>
            </w:pPr>
          </w:p>
        </w:tc>
        <w:tc>
          <w:tcPr>
            <w:tcW w:w="3969" w:type="dxa"/>
            <w:vAlign w:val="center"/>
          </w:tcPr>
          <w:p>
            <w:pPr>
              <w:spacing w:line="640" w:lineRule="exact"/>
              <w:jc w:val="center"/>
              <w:rPr>
                <w:rFonts w:ascii="宋体" w:hAnsi="宋体" w:eastAsia="宋体" w:cs="宋体"/>
                <w:bCs/>
                <w:sz w:val="28"/>
                <w:szCs w:val="28"/>
              </w:rPr>
            </w:pPr>
            <w:r>
              <w:rPr>
                <w:rFonts w:hint="eastAsia" w:ascii="宋体" w:hAnsi="宋体" w:eastAsia="宋体" w:cs="宋体"/>
                <w:bCs/>
                <w:sz w:val="28"/>
                <w:szCs w:val="28"/>
              </w:rPr>
              <w:t>详见本询价采购公告</w:t>
            </w:r>
          </w:p>
        </w:tc>
        <w:tc>
          <w:tcPr>
            <w:tcW w:w="2410" w:type="dxa"/>
            <w:vAlign w:val="center"/>
          </w:tcPr>
          <w:p>
            <w:pPr>
              <w:spacing w:line="640" w:lineRule="exact"/>
              <w:jc w:val="center"/>
              <w:rPr>
                <w:rFonts w:ascii="宋体" w:hAnsi="宋体" w:eastAsia="宋体" w:cs="宋体"/>
                <w:bCs/>
                <w:sz w:val="28"/>
                <w:szCs w:val="28"/>
              </w:rPr>
            </w:pPr>
          </w:p>
        </w:tc>
      </w:tr>
    </w:tbl>
    <w:p>
      <w:pPr>
        <w:widowControl/>
        <w:spacing w:line="560" w:lineRule="exact"/>
        <w:jc w:val="left"/>
        <w:rPr>
          <w:rFonts w:ascii="仿宋_GB2312" w:hAnsi="仿宋_GB2312" w:cs="仿宋_GB2312"/>
          <w:kern w:val="2"/>
        </w:rPr>
      </w:pPr>
      <w:r>
        <w:rPr>
          <w:rFonts w:hint="eastAsia" w:ascii="仿宋_GB2312" w:hAnsi="仿宋_GB2312" w:cs="仿宋_GB2312"/>
          <w:kern w:val="0"/>
        </w:rPr>
        <w:t>备注：报价应为含税全包价（增值税6%），包括提供相关服务的所有费用。</w:t>
      </w:r>
    </w:p>
    <w:p>
      <w:pPr>
        <w:rPr>
          <w:rFonts w:ascii="仿宋_GB2312" w:hAnsi="仿宋_GB2312" w:cs="仿宋_GB2312"/>
        </w:rPr>
      </w:pPr>
    </w:p>
    <w:p>
      <w:pPr>
        <w:rPr>
          <w:rFonts w:ascii="仿宋_GB2312" w:hAnsi="仿宋_GB2312" w:cs="仿宋_GB2312"/>
        </w:rPr>
      </w:pPr>
    </w:p>
    <w:p>
      <w:pPr>
        <w:widowControl/>
        <w:spacing w:line="560" w:lineRule="exact"/>
        <w:jc w:val="left"/>
        <w:rPr>
          <w:rFonts w:ascii="仿宋_GB2312" w:hAnsi="仿宋_GB2312" w:cs="仿宋_GB2312"/>
          <w:kern w:val="0"/>
        </w:rPr>
      </w:pPr>
      <w:r>
        <w:rPr>
          <w:rFonts w:hint="eastAsia" w:ascii="仿宋_GB2312" w:hAnsi="仿宋_GB2312" w:cs="仿宋_GB2312"/>
          <w:kern w:val="0"/>
        </w:rPr>
        <w:t>报价单位名称（盖公章）：</w:t>
      </w:r>
    </w:p>
    <w:p>
      <w:pPr>
        <w:widowControl/>
        <w:spacing w:line="560" w:lineRule="exact"/>
        <w:jc w:val="left"/>
        <w:rPr>
          <w:rFonts w:ascii="仿宋_GB2312" w:hAnsi="仿宋_GB2312" w:cs="仿宋_GB2312"/>
          <w:kern w:val="0"/>
        </w:rPr>
      </w:pPr>
      <w:r>
        <w:rPr>
          <w:rFonts w:hint="eastAsia" w:ascii="仿宋_GB2312" w:hAnsi="仿宋_GB2312" w:cs="仿宋_GB2312"/>
          <w:kern w:val="0"/>
        </w:rPr>
        <w:t>联系方式：</w:t>
      </w:r>
    </w:p>
    <w:p>
      <w:pPr>
        <w:rPr>
          <w:rFonts w:ascii="仿宋" w:hAnsi="仿宋" w:eastAsia="仿宋" w:cs="宋体"/>
        </w:rPr>
      </w:pPr>
    </w:p>
    <w:p>
      <w:pPr>
        <w:jc w:val="right"/>
        <w:rPr>
          <w:rFonts w:ascii="仿宋" w:hAnsi="仿宋" w:eastAsia="仿宋" w:cs="宋体"/>
        </w:rPr>
      </w:pPr>
      <w:r>
        <w:rPr>
          <w:rFonts w:hint="eastAsia" w:ascii="仿宋" w:hAnsi="仿宋" w:eastAsia="仿宋" w:cs="宋体"/>
        </w:rPr>
        <w:t>时间：        年    月   日</w:t>
      </w:r>
    </w:p>
    <w:p>
      <w:pPr>
        <w:widowControl/>
        <w:jc w:val="left"/>
        <w:rPr>
          <w:rFonts w:ascii="仿宋" w:hAnsi="仿宋" w:eastAsia="仿宋" w:cs="仿宋"/>
        </w:rPr>
      </w:pPr>
      <w:r>
        <w:rPr>
          <w:rFonts w:ascii="仿宋" w:hAnsi="仿宋" w:eastAsia="仿宋" w:cs="仿宋"/>
        </w:rPr>
        <w:br w:type="page"/>
      </w:r>
    </w:p>
    <w:p>
      <w:pPr>
        <w:rPr>
          <w:rFonts w:ascii="仿宋" w:hAnsi="仿宋" w:eastAsia="仿宋" w:cs="仿宋"/>
        </w:rPr>
      </w:pPr>
    </w:p>
    <w:p>
      <w:pPr>
        <w:outlineLvl w:val="0"/>
        <w:rPr>
          <w:rFonts w:ascii="仿宋" w:hAnsi="仿宋" w:eastAsia="仿宋" w:cs="仿宋"/>
        </w:rPr>
      </w:pPr>
      <w:r>
        <w:rPr>
          <w:rFonts w:hint="eastAsia" w:ascii="仿宋" w:hAnsi="仿宋" w:eastAsia="仿宋" w:cs="仿宋"/>
        </w:rPr>
        <w:t>附件</w:t>
      </w:r>
      <w:r>
        <w:rPr>
          <w:rFonts w:ascii="仿宋" w:hAnsi="仿宋" w:eastAsia="仿宋" w:cs="仿宋"/>
        </w:rPr>
        <w:t>3</w:t>
      </w:r>
      <w:r>
        <w:rPr>
          <w:rFonts w:hint="eastAsia" w:ascii="仿宋" w:hAnsi="仿宋" w:eastAsia="仿宋" w:cs="仿宋"/>
        </w:rPr>
        <w:t>：</w:t>
      </w:r>
    </w:p>
    <w:p>
      <w:pPr>
        <w:jc w:val="center"/>
        <w:rPr>
          <w:rFonts w:ascii="仿宋" w:hAnsi="仿宋" w:eastAsia="仿宋" w:cs="仿宋"/>
        </w:rPr>
      </w:pPr>
    </w:p>
    <w:p>
      <w:pPr>
        <w:spacing w:line="560" w:lineRule="exact"/>
        <w:jc w:val="center"/>
        <w:outlineLvl w:val="0"/>
        <w:rPr>
          <w:rFonts w:ascii="方正小标宋简体" w:hAnsi="仿宋" w:eastAsia="方正小标宋简体" w:cs="仿宋"/>
          <w:sz w:val="44"/>
          <w:szCs w:val="44"/>
        </w:rPr>
      </w:pPr>
      <w:r>
        <w:rPr>
          <w:rFonts w:hint="eastAsia" w:ascii="方正小标宋简体" w:hAnsi="仿宋" w:eastAsia="方正小标宋简体" w:cs="仿宋"/>
          <w:sz w:val="44"/>
          <w:szCs w:val="44"/>
        </w:rPr>
        <w:t>报价单位同类项目实施情况一览表</w:t>
      </w:r>
    </w:p>
    <w:p>
      <w:pPr>
        <w:spacing w:line="560" w:lineRule="exact"/>
        <w:rPr>
          <w:rFonts w:ascii="宋体" w:hAnsi="宋体" w:eastAsia="宋体" w:cs="宋体"/>
        </w:rPr>
      </w:pPr>
    </w:p>
    <w:tbl>
      <w:tblPr>
        <w:tblStyle w:val="26"/>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252"/>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35" w:type="dxa"/>
            <w:vAlign w:val="center"/>
          </w:tcPr>
          <w:p>
            <w:pPr>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序号</w:t>
            </w:r>
          </w:p>
        </w:tc>
        <w:tc>
          <w:tcPr>
            <w:tcW w:w="4252" w:type="dxa"/>
            <w:vAlign w:val="center"/>
          </w:tcPr>
          <w:p>
            <w:pPr>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服务项目名称</w:t>
            </w:r>
          </w:p>
        </w:tc>
        <w:tc>
          <w:tcPr>
            <w:tcW w:w="3645" w:type="dxa"/>
            <w:vAlign w:val="center"/>
          </w:tcPr>
          <w:p>
            <w:pPr>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35" w:type="dxa"/>
            <w:vAlign w:val="center"/>
          </w:tcPr>
          <w:p>
            <w:pPr>
              <w:rPr>
                <w:rFonts w:cs="宋体" w:asciiTheme="minorEastAsia" w:hAnsiTheme="minorEastAsia" w:eastAsiaTheme="minorEastAsia"/>
                <w:sz w:val="28"/>
                <w:szCs w:val="28"/>
              </w:rPr>
            </w:pPr>
          </w:p>
        </w:tc>
        <w:tc>
          <w:tcPr>
            <w:tcW w:w="4252" w:type="dxa"/>
            <w:vAlign w:val="center"/>
          </w:tcPr>
          <w:p>
            <w:pPr>
              <w:rPr>
                <w:rFonts w:cs="宋体" w:asciiTheme="minorEastAsia" w:hAnsiTheme="minorEastAsia" w:eastAsiaTheme="minorEastAsia"/>
                <w:sz w:val="28"/>
                <w:szCs w:val="28"/>
              </w:rPr>
            </w:pPr>
          </w:p>
        </w:tc>
        <w:tc>
          <w:tcPr>
            <w:tcW w:w="3645" w:type="dxa"/>
            <w:vAlign w:val="center"/>
          </w:tcPr>
          <w:p>
            <w:pPr>
              <w:rPr>
                <w:rFonts w:cs="宋体"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35" w:type="dxa"/>
            <w:vAlign w:val="center"/>
          </w:tcPr>
          <w:p>
            <w:pPr>
              <w:rPr>
                <w:rFonts w:cs="宋体" w:asciiTheme="minorEastAsia" w:hAnsiTheme="minorEastAsia" w:eastAsiaTheme="minorEastAsia"/>
                <w:sz w:val="28"/>
                <w:szCs w:val="28"/>
              </w:rPr>
            </w:pPr>
          </w:p>
        </w:tc>
        <w:tc>
          <w:tcPr>
            <w:tcW w:w="4252" w:type="dxa"/>
            <w:vAlign w:val="center"/>
          </w:tcPr>
          <w:p>
            <w:pPr>
              <w:rPr>
                <w:rFonts w:cs="宋体" w:asciiTheme="minorEastAsia" w:hAnsiTheme="minorEastAsia" w:eastAsiaTheme="minorEastAsia"/>
                <w:sz w:val="28"/>
                <w:szCs w:val="28"/>
              </w:rPr>
            </w:pPr>
          </w:p>
        </w:tc>
        <w:tc>
          <w:tcPr>
            <w:tcW w:w="3645" w:type="dxa"/>
            <w:vAlign w:val="center"/>
          </w:tcPr>
          <w:p>
            <w:pPr>
              <w:rPr>
                <w:rFonts w:cs="宋体"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35" w:type="dxa"/>
            <w:vAlign w:val="center"/>
          </w:tcPr>
          <w:p>
            <w:pPr>
              <w:rPr>
                <w:rFonts w:cs="宋体" w:asciiTheme="minorEastAsia" w:hAnsiTheme="minorEastAsia" w:eastAsiaTheme="minorEastAsia"/>
                <w:sz w:val="28"/>
                <w:szCs w:val="28"/>
              </w:rPr>
            </w:pPr>
          </w:p>
        </w:tc>
        <w:tc>
          <w:tcPr>
            <w:tcW w:w="4252" w:type="dxa"/>
            <w:vAlign w:val="center"/>
          </w:tcPr>
          <w:p>
            <w:pPr>
              <w:rPr>
                <w:rFonts w:cs="宋体" w:asciiTheme="minorEastAsia" w:hAnsiTheme="minorEastAsia" w:eastAsiaTheme="minorEastAsia"/>
                <w:sz w:val="28"/>
                <w:szCs w:val="28"/>
              </w:rPr>
            </w:pPr>
          </w:p>
        </w:tc>
        <w:tc>
          <w:tcPr>
            <w:tcW w:w="3645" w:type="dxa"/>
            <w:vAlign w:val="center"/>
          </w:tcPr>
          <w:p>
            <w:pPr>
              <w:rPr>
                <w:rFonts w:cs="宋体"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35" w:type="dxa"/>
            <w:vAlign w:val="center"/>
          </w:tcPr>
          <w:p>
            <w:pPr>
              <w:rPr>
                <w:rFonts w:cs="宋体" w:asciiTheme="minorEastAsia" w:hAnsiTheme="minorEastAsia" w:eastAsiaTheme="minorEastAsia"/>
                <w:sz w:val="28"/>
                <w:szCs w:val="28"/>
              </w:rPr>
            </w:pPr>
          </w:p>
        </w:tc>
        <w:tc>
          <w:tcPr>
            <w:tcW w:w="4252" w:type="dxa"/>
            <w:vAlign w:val="center"/>
          </w:tcPr>
          <w:p>
            <w:pPr>
              <w:rPr>
                <w:rFonts w:cs="宋体" w:asciiTheme="minorEastAsia" w:hAnsiTheme="minorEastAsia" w:eastAsiaTheme="minorEastAsia"/>
                <w:sz w:val="28"/>
                <w:szCs w:val="28"/>
              </w:rPr>
            </w:pPr>
          </w:p>
        </w:tc>
        <w:tc>
          <w:tcPr>
            <w:tcW w:w="3645" w:type="dxa"/>
            <w:vAlign w:val="center"/>
          </w:tcPr>
          <w:p>
            <w:pPr>
              <w:rPr>
                <w:rFonts w:cs="宋体"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35" w:type="dxa"/>
            <w:vAlign w:val="center"/>
          </w:tcPr>
          <w:p>
            <w:pPr>
              <w:rPr>
                <w:rFonts w:cs="宋体" w:asciiTheme="minorEastAsia" w:hAnsiTheme="minorEastAsia" w:eastAsiaTheme="minorEastAsia"/>
                <w:sz w:val="28"/>
                <w:szCs w:val="28"/>
              </w:rPr>
            </w:pPr>
          </w:p>
        </w:tc>
        <w:tc>
          <w:tcPr>
            <w:tcW w:w="4252" w:type="dxa"/>
            <w:vAlign w:val="center"/>
          </w:tcPr>
          <w:p>
            <w:pPr>
              <w:rPr>
                <w:rFonts w:cs="宋体" w:asciiTheme="minorEastAsia" w:hAnsiTheme="minorEastAsia" w:eastAsiaTheme="minorEastAsia"/>
                <w:sz w:val="28"/>
                <w:szCs w:val="28"/>
              </w:rPr>
            </w:pPr>
          </w:p>
        </w:tc>
        <w:tc>
          <w:tcPr>
            <w:tcW w:w="3645" w:type="dxa"/>
            <w:vAlign w:val="center"/>
          </w:tcPr>
          <w:p>
            <w:pPr>
              <w:rPr>
                <w:rFonts w:cs="宋体"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35" w:type="dxa"/>
            <w:vAlign w:val="center"/>
          </w:tcPr>
          <w:p>
            <w:pPr>
              <w:rPr>
                <w:rFonts w:cs="宋体" w:asciiTheme="minorEastAsia" w:hAnsiTheme="minorEastAsia" w:eastAsiaTheme="minorEastAsia"/>
                <w:sz w:val="28"/>
                <w:szCs w:val="28"/>
              </w:rPr>
            </w:pPr>
          </w:p>
        </w:tc>
        <w:tc>
          <w:tcPr>
            <w:tcW w:w="4252" w:type="dxa"/>
            <w:vAlign w:val="center"/>
          </w:tcPr>
          <w:p>
            <w:pPr>
              <w:rPr>
                <w:rFonts w:cs="宋体" w:asciiTheme="minorEastAsia" w:hAnsiTheme="minorEastAsia" w:eastAsiaTheme="minorEastAsia"/>
                <w:sz w:val="28"/>
                <w:szCs w:val="28"/>
              </w:rPr>
            </w:pPr>
          </w:p>
        </w:tc>
        <w:tc>
          <w:tcPr>
            <w:tcW w:w="3645" w:type="dxa"/>
            <w:vAlign w:val="center"/>
          </w:tcPr>
          <w:p>
            <w:pPr>
              <w:rPr>
                <w:rFonts w:cs="宋体"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35" w:type="dxa"/>
            <w:vAlign w:val="center"/>
          </w:tcPr>
          <w:p>
            <w:pPr>
              <w:rPr>
                <w:rFonts w:cs="宋体" w:asciiTheme="minorEastAsia" w:hAnsiTheme="minorEastAsia" w:eastAsiaTheme="minorEastAsia"/>
                <w:sz w:val="28"/>
                <w:szCs w:val="28"/>
              </w:rPr>
            </w:pPr>
          </w:p>
        </w:tc>
        <w:tc>
          <w:tcPr>
            <w:tcW w:w="4252" w:type="dxa"/>
            <w:vAlign w:val="center"/>
          </w:tcPr>
          <w:p>
            <w:pPr>
              <w:rPr>
                <w:rFonts w:cs="宋体" w:asciiTheme="minorEastAsia" w:hAnsiTheme="minorEastAsia" w:eastAsiaTheme="minorEastAsia"/>
                <w:sz w:val="28"/>
                <w:szCs w:val="28"/>
              </w:rPr>
            </w:pPr>
          </w:p>
        </w:tc>
        <w:tc>
          <w:tcPr>
            <w:tcW w:w="3645" w:type="dxa"/>
            <w:vAlign w:val="center"/>
          </w:tcPr>
          <w:p>
            <w:pPr>
              <w:rPr>
                <w:rFonts w:cs="宋体" w:asciiTheme="minorEastAsia" w:hAnsiTheme="minorEastAsia" w:eastAsiaTheme="minorEastAsia"/>
                <w:sz w:val="28"/>
                <w:szCs w:val="28"/>
              </w:rPr>
            </w:pPr>
          </w:p>
        </w:tc>
      </w:tr>
    </w:tbl>
    <w:p>
      <w:pPr>
        <w:spacing w:line="400" w:lineRule="exact"/>
        <w:rPr>
          <w:rFonts w:ascii="仿宋" w:hAnsi="仿宋" w:eastAsia="仿宋" w:cs="仿宋"/>
          <w:sz w:val="28"/>
          <w:szCs w:val="28"/>
        </w:rPr>
      </w:pPr>
      <w:r>
        <w:rPr>
          <w:rFonts w:hint="eastAsia" w:ascii="仿宋" w:hAnsi="仿宋" w:eastAsia="仿宋" w:cs="仿宋"/>
          <w:sz w:val="28"/>
          <w:szCs w:val="28"/>
        </w:rPr>
        <w:t>填写说明：1.同类项目是指：自2017年1月1日至今，报价单位完成的投资并购财务顾问或财务尽调咨询服务业绩。</w:t>
      </w:r>
    </w:p>
    <w:p>
      <w:pPr>
        <w:spacing w:line="400" w:lineRule="exact"/>
        <w:rPr>
          <w:rFonts w:ascii="仿宋" w:hAnsi="仿宋" w:eastAsia="仿宋" w:cs="宋体"/>
          <w:sz w:val="28"/>
          <w:szCs w:val="28"/>
        </w:rPr>
      </w:pPr>
      <w:r>
        <w:rPr>
          <w:rFonts w:ascii="仿宋" w:hAnsi="仿宋" w:eastAsia="仿宋" w:cs="仿宋"/>
          <w:sz w:val="28"/>
          <w:szCs w:val="28"/>
        </w:rPr>
        <w:t>2.</w:t>
      </w:r>
      <w:r>
        <w:rPr>
          <w:rFonts w:hint="eastAsia" w:ascii="仿宋" w:hAnsi="仿宋" w:eastAsia="仿宋" w:cs="仿宋"/>
          <w:sz w:val="28"/>
          <w:szCs w:val="28"/>
        </w:rPr>
        <w:t>若合同名称中未明确提及财务顾问服务，但合同签订的服务范围可以证明承担财务顾问职责的，亦符合要求</w:t>
      </w:r>
      <w:r>
        <w:rPr>
          <w:rFonts w:hint="eastAsia" w:ascii="仿宋" w:hAnsi="仿宋" w:eastAsia="仿宋" w:cs="宋体"/>
          <w:sz w:val="28"/>
          <w:szCs w:val="28"/>
        </w:rPr>
        <w:t>。</w:t>
      </w:r>
    </w:p>
    <w:p>
      <w:pPr>
        <w:spacing w:line="400" w:lineRule="exact"/>
        <w:rPr>
          <w:rFonts w:ascii="仿宋" w:hAnsi="仿宋" w:eastAsia="仿宋" w:cs="宋体"/>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报价单位须提供相应证明文件关键页（合同封面、签字页、可说明服务内容相关页等）的复印</w:t>
      </w:r>
      <w:r>
        <w:rPr>
          <w:rFonts w:hint="eastAsia" w:ascii="仿宋" w:hAnsi="仿宋" w:eastAsia="仿宋" w:cs="宋体"/>
          <w:sz w:val="28"/>
          <w:szCs w:val="28"/>
        </w:rPr>
        <w:t>件，复印件每页均需加盖公章。</w:t>
      </w:r>
    </w:p>
    <w:p>
      <w:pPr>
        <w:spacing w:line="560" w:lineRule="exact"/>
        <w:rPr>
          <w:rFonts w:ascii="仿宋" w:hAnsi="仿宋" w:eastAsia="仿宋" w:cs="宋体"/>
        </w:rPr>
      </w:pPr>
    </w:p>
    <w:p>
      <w:pPr>
        <w:spacing w:line="560" w:lineRule="exact"/>
        <w:rPr>
          <w:rFonts w:ascii="仿宋" w:hAnsi="仿宋" w:eastAsia="仿宋" w:cs="宋体"/>
        </w:rPr>
      </w:pPr>
      <w:r>
        <w:rPr>
          <w:rFonts w:hint="eastAsia" w:ascii="仿宋" w:hAnsi="仿宋" w:eastAsia="仿宋" w:cs="宋体"/>
        </w:rPr>
        <w:t>报价单位名称（盖公章）：</w:t>
      </w:r>
    </w:p>
    <w:p>
      <w:pPr>
        <w:spacing w:line="560" w:lineRule="exact"/>
        <w:rPr>
          <w:rFonts w:ascii="仿宋" w:hAnsi="仿宋" w:eastAsia="仿宋" w:cs="宋体"/>
        </w:rPr>
      </w:pPr>
    </w:p>
    <w:p>
      <w:pPr>
        <w:spacing w:line="560" w:lineRule="exact"/>
        <w:jc w:val="right"/>
        <w:rPr>
          <w:rFonts w:ascii="仿宋" w:hAnsi="仿宋" w:eastAsia="仿宋" w:cs="宋体"/>
        </w:rPr>
      </w:pPr>
      <w:r>
        <w:rPr>
          <w:rFonts w:hint="eastAsia" w:ascii="仿宋" w:hAnsi="仿宋" w:eastAsia="仿宋" w:cs="宋体"/>
        </w:rPr>
        <w:t>时间：      年      月     日</w:t>
      </w:r>
    </w:p>
    <w:p>
      <w:pPr>
        <w:widowControl/>
        <w:jc w:val="left"/>
        <w:rPr>
          <w:rFonts w:ascii="仿宋" w:hAnsi="仿宋" w:eastAsia="仿宋" w:cs="仿宋"/>
        </w:rPr>
      </w:pPr>
      <w:r>
        <w:rPr>
          <w:rFonts w:ascii="仿宋" w:hAnsi="仿宋" w:eastAsia="仿宋" w:cs="仿宋"/>
        </w:rPr>
        <w:br w:type="page"/>
      </w:r>
    </w:p>
    <w:p>
      <w:pPr>
        <w:keepNext/>
        <w:spacing w:line="360" w:lineRule="exact"/>
        <w:jc w:val="left"/>
        <w:outlineLvl w:val="1"/>
        <w:rPr>
          <w:rFonts w:ascii="仿宋" w:hAnsi="仿宋" w:eastAsia="仿宋"/>
          <w:kern w:val="2"/>
        </w:rPr>
      </w:pPr>
      <w:r>
        <w:rPr>
          <w:rFonts w:hint="eastAsia" w:ascii="仿宋" w:hAnsi="仿宋" w:eastAsia="仿宋"/>
        </w:rPr>
        <w:t>附件</w:t>
      </w:r>
      <w:r>
        <w:rPr>
          <w:rFonts w:ascii="仿宋" w:hAnsi="仿宋" w:eastAsia="仿宋"/>
        </w:rPr>
        <w:t>4</w:t>
      </w:r>
    </w:p>
    <w:p>
      <w:pPr>
        <w:keepNext/>
        <w:spacing w:line="600" w:lineRule="exact"/>
        <w:jc w:val="center"/>
        <w:outlineLvl w:val="1"/>
        <w:rPr>
          <w:rFonts w:ascii="仿宋" w:hAnsi="仿宋" w:eastAsia="仿宋" w:cs="仿宋"/>
          <w:b/>
          <w:color w:val="000000"/>
          <w:sz w:val="36"/>
          <w:szCs w:val="36"/>
        </w:rPr>
      </w:pPr>
    </w:p>
    <w:p>
      <w:pPr>
        <w:keepNext/>
        <w:spacing w:line="600" w:lineRule="exact"/>
        <w:jc w:val="center"/>
        <w:outlineLvl w:val="1"/>
        <w:rPr>
          <w:rFonts w:ascii="仿宋" w:hAnsi="仿宋" w:eastAsia="仿宋" w:cs="仿宋"/>
          <w:bCs/>
          <w:color w:val="000000"/>
          <w:sz w:val="36"/>
          <w:szCs w:val="36"/>
        </w:rPr>
      </w:pPr>
      <w:r>
        <w:rPr>
          <w:rFonts w:hint="eastAsia" w:ascii="仿宋" w:hAnsi="仿宋" w:eastAsia="仿宋" w:cs="仿宋"/>
          <w:b/>
          <w:color w:val="000000"/>
          <w:sz w:val="36"/>
          <w:szCs w:val="36"/>
        </w:rPr>
        <w:t>报价文件包装袋密封件正面和封口格式</w:t>
      </w:r>
    </w:p>
    <w:p>
      <w:pPr>
        <w:spacing w:line="6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报价文件包装袋密封件正面格式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7" w:hRule="atLeast"/>
        </w:trPr>
        <w:tc>
          <w:tcPr>
            <w:tcW w:w="8760" w:type="dxa"/>
            <w:tcBorders>
              <w:top w:val="single" w:color="auto" w:sz="4" w:space="0"/>
              <w:left w:val="single" w:color="auto" w:sz="4" w:space="0"/>
              <w:bottom w:val="single" w:color="auto" w:sz="4" w:space="0"/>
              <w:right w:val="single" w:color="auto" w:sz="4" w:space="0"/>
            </w:tcBorders>
          </w:tcPr>
          <w:p>
            <w:pPr>
              <w:spacing w:line="600" w:lineRule="exact"/>
              <w:rPr>
                <w:rFonts w:ascii="仿宋" w:hAnsi="仿宋" w:eastAsia="仿宋" w:cs="仿宋"/>
                <w:color w:val="000000"/>
                <w:sz w:val="28"/>
                <w:szCs w:val="28"/>
              </w:rPr>
            </w:pPr>
            <w:r>
              <w:rPr>
                <w:rFonts w:hint="eastAsia" w:ascii="仿宋" w:hAnsi="仿宋" w:eastAsia="仿宋" w:cs="仿宋"/>
                <w:color w:val="000000"/>
                <w:sz w:val="28"/>
                <w:szCs w:val="28"/>
              </w:rPr>
              <w:t>收件人：</w:t>
            </w:r>
            <w:r>
              <w:rPr>
                <w:rFonts w:hint="eastAsia" w:ascii="仿宋" w:hAnsi="仿宋" w:eastAsia="仿宋" w:cs="仿宋"/>
                <w:u w:val="single"/>
              </w:rPr>
              <w:t>青岛城投新能源投资有限公司</w:t>
            </w:r>
            <w:r>
              <w:rPr>
                <w:rFonts w:hint="eastAsia" w:ascii="仿宋" w:hAnsi="仿宋" w:eastAsia="仿宋" w:cs="仿宋"/>
                <w:color w:val="000000"/>
                <w:sz w:val="28"/>
                <w:szCs w:val="28"/>
              </w:rPr>
              <w:t xml:space="preserve">                             </w:t>
            </w:r>
          </w:p>
          <w:p>
            <w:pPr>
              <w:spacing w:line="600" w:lineRule="exact"/>
              <w:rPr>
                <w:rFonts w:ascii="仿宋" w:hAnsi="仿宋" w:eastAsia="仿宋" w:cs="仿宋"/>
                <w:bCs/>
                <w:color w:val="000000"/>
                <w:sz w:val="28"/>
                <w:szCs w:val="28"/>
                <w:lang w:val="zh-CN"/>
              </w:rPr>
            </w:pPr>
            <w:r>
              <w:rPr>
                <w:rFonts w:hint="eastAsia" w:ascii="仿宋" w:hAnsi="仿宋" w:eastAsia="仿宋" w:cs="仿宋"/>
                <w:color w:val="000000"/>
                <w:sz w:val="28"/>
                <w:szCs w:val="28"/>
              </w:rPr>
              <w:t>项目名称：</w:t>
            </w:r>
            <w:r>
              <w:rPr>
                <w:rFonts w:hint="eastAsia" w:ascii="仿宋" w:hAnsi="仿宋" w:eastAsia="仿宋" w:cs="仿宋"/>
                <w:u w:val="single"/>
              </w:rPr>
              <w:t>光伏项目资产并购财务顾问服务</w:t>
            </w:r>
          </w:p>
          <w:p>
            <w:pPr>
              <w:spacing w:line="600" w:lineRule="exact"/>
              <w:jc w:val="center"/>
              <w:rPr>
                <w:rFonts w:ascii="仿宋" w:hAnsi="仿宋" w:eastAsia="仿宋" w:cs="仿宋"/>
                <w:bCs/>
                <w:color w:val="000000"/>
                <w:sz w:val="28"/>
                <w:szCs w:val="28"/>
                <w:lang w:val="zh-CN"/>
              </w:rPr>
            </w:pPr>
          </w:p>
          <w:p>
            <w:pPr>
              <w:spacing w:line="600" w:lineRule="exact"/>
              <w:jc w:val="center"/>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w:t>
            </w:r>
            <w:r>
              <w:rPr>
                <w:rFonts w:hint="eastAsia" w:ascii="仿宋" w:hAnsi="仿宋" w:eastAsia="仿宋" w:cs="仿宋"/>
                <w:bCs/>
                <w:color w:val="000000"/>
                <w:sz w:val="28"/>
                <w:szCs w:val="28"/>
              </w:rPr>
              <w:t>报价文件</w:t>
            </w:r>
            <w:r>
              <w:rPr>
                <w:rFonts w:hint="eastAsia" w:ascii="仿宋" w:hAnsi="仿宋" w:eastAsia="仿宋" w:cs="仿宋"/>
                <w:bCs/>
                <w:color w:val="000000"/>
                <w:sz w:val="28"/>
                <w:szCs w:val="28"/>
                <w:lang w:val="zh-CN"/>
              </w:rPr>
              <w:t>）</w:t>
            </w:r>
          </w:p>
          <w:p>
            <w:pPr>
              <w:spacing w:line="600" w:lineRule="exact"/>
              <w:jc w:val="center"/>
              <w:rPr>
                <w:rFonts w:ascii="仿宋" w:hAnsi="仿宋" w:eastAsia="仿宋" w:cs="仿宋"/>
                <w:bCs/>
                <w:color w:val="000000"/>
                <w:sz w:val="28"/>
                <w:szCs w:val="28"/>
                <w:lang w:val="zh-CN"/>
              </w:rPr>
            </w:pPr>
          </w:p>
          <w:p>
            <w:pPr>
              <w:spacing w:line="600" w:lineRule="exact"/>
              <w:jc w:val="center"/>
              <w:rPr>
                <w:rFonts w:ascii="仿宋" w:hAnsi="仿宋" w:eastAsia="仿宋" w:cs="仿宋"/>
                <w:bCs/>
                <w:color w:val="000000"/>
                <w:sz w:val="28"/>
                <w:szCs w:val="28"/>
                <w:lang w:val="zh-CN"/>
              </w:rPr>
            </w:pPr>
          </w:p>
          <w:p>
            <w:pPr>
              <w:spacing w:line="600" w:lineRule="exact"/>
              <w:jc w:val="center"/>
              <w:rPr>
                <w:rFonts w:ascii="仿宋" w:hAnsi="仿宋" w:eastAsia="仿宋" w:cs="仿宋"/>
                <w:bCs/>
                <w:color w:val="000000"/>
                <w:sz w:val="28"/>
                <w:szCs w:val="28"/>
                <w:lang w:val="zh-CN"/>
              </w:rPr>
            </w:pPr>
          </w:p>
          <w:p>
            <w:pPr>
              <w:spacing w:line="600" w:lineRule="exact"/>
              <w:jc w:val="center"/>
              <w:rPr>
                <w:rFonts w:ascii="仿宋" w:hAnsi="仿宋" w:eastAsia="仿宋" w:cs="仿宋"/>
                <w:bCs/>
                <w:color w:val="000000"/>
                <w:sz w:val="28"/>
                <w:szCs w:val="28"/>
                <w:lang w:val="zh-CN"/>
              </w:rPr>
            </w:pPr>
          </w:p>
          <w:p>
            <w:pPr>
              <w:spacing w:line="600" w:lineRule="exact"/>
              <w:rPr>
                <w:rFonts w:ascii="仿宋" w:hAnsi="仿宋" w:eastAsia="仿宋" w:cs="仿宋"/>
                <w:color w:val="000000"/>
                <w:sz w:val="28"/>
                <w:szCs w:val="28"/>
              </w:rPr>
            </w:pPr>
          </w:p>
          <w:p>
            <w:pPr>
              <w:spacing w:line="600" w:lineRule="exact"/>
              <w:rPr>
                <w:rFonts w:ascii="仿宋" w:hAnsi="仿宋" w:eastAsia="仿宋" w:cs="仿宋"/>
                <w:color w:val="000000"/>
                <w:sz w:val="28"/>
                <w:szCs w:val="28"/>
              </w:rPr>
            </w:pPr>
            <w:r>
              <w:rPr>
                <w:rFonts w:hint="eastAsia" w:ascii="仿宋" w:hAnsi="仿宋" w:eastAsia="仿宋" w:cs="仿宋"/>
                <w:color w:val="000000"/>
                <w:sz w:val="28"/>
                <w:szCs w:val="28"/>
              </w:rPr>
              <w:t>报价单位名称：</w:t>
            </w:r>
          </w:p>
          <w:p>
            <w:pPr>
              <w:spacing w:line="600" w:lineRule="exact"/>
              <w:rPr>
                <w:rFonts w:ascii="仿宋" w:hAnsi="仿宋" w:eastAsia="仿宋" w:cs="仿宋"/>
                <w:color w:val="000000"/>
                <w:sz w:val="28"/>
                <w:szCs w:val="28"/>
              </w:rPr>
            </w:pPr>
            <w:r>
              <w:rPr>
                <w:rFonts w:hint="eastAsia" w:ascii="仿宋" w:hAnsi="仿宋" w:eastAsia="仿宋" w:cs="仿宋"/>
                <w:color w:val="000000"/>
                <w:sz w:val="28"/>
                <w:szCs w:val="28"/>
              </w:rPr>
              <w:t>报价单位地址：</w:t>
            </w:r>
          </w:p>
          <w:p>
            <w:pPr>
              <w:spacing w:line="60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rPr>
              <w:t xml:space="preserve">  </w:t>
            </w:r>
            <w:r>
              <w:rPr>
                <w:rFonts w:hint="eastAsia" w:ascii="仿宋" w:hAnsi="仿宋" w:eastAsia="仿宋" w:cs="仿宋"/>
                <w:color w:val="000000"/>
                <w:sz w:val="28"/>
                <w:szCs w:val="28"/>
              </w:rPr>
              <w:t>日</w:t>
            </w:r>
          </w:p>
          <w:p>
            <w:pPr>
              <w:spacing w:line="600" w:lineRule="exact"/>
              <w:jc w:val="center"/>
              <w:rPr>
                <w:rFonts w:ascii="仿宋" w:hAnsi="仿宋" w:eastAsia="仿宋" w:cs="仿宋"/>
                <w:color w:val="000000"/>
                <w:sz w:val="28"/>
                <w:szCs w:val="28"/>
              </w:rPr>
            </w:pPr>
          </w:p>
          <w:p>
            <w:pPr>
              <w:spacing w:line="600" w:lineRule="exact"/>
              <w:jc w:val="center"/>
              <w:rPr>
                <w:rFonts w:ascii="仿宋" w:hAnsi="仿宋" w:eastAsia="仿宋" w:cs="仿宋"/>
                <w:color w:val="000000"/>
                <w:sz w:val="28"/>
                <w:szCs w:val="28"/>
              </w:rPr>
            </w:pPr>
          </w:p>
          <w:p>
            <w:pPr>
              <w:spacing w:line="600" w:lineRule="exact"/>
              <w:jc w:val="center"/>
              <w:rPr>
                <w:rFonts w:ascii="仿宋" w:hAnsi="仿宋" w:eastAsia="仿宋" w:cs="仿宋"/>
                <w:color w:val="000000"/>
                <w:sz w:val="28"/>
                <w:szCs w:val="28"/>
              </w:rPr>
            </w:pPr>
          </w:p>
          <w:p>
            <w:pPr>
              <w:spacing w:line="600" w:lineRule="exact"/>
              <w:jc w:val="center"/>
              <w:rPr>
                <w:rFonts w:ascii="仿宋" w:hAnsi="仿宋" w:eastAsia="仿宋" w:cs="仿宋"/>
                <w:color w:val="000000"/>
                <w:sz w:val="28"/>
                <w:szCs w:val="28"/>
              </w:rPr>
            </w:pPr>
          </w:p>
          <w:p>
            <w:pPr>
              <w:spacing w:line="600" w:lineRule="exact"/>
              <w:jc w:val="center"/>
              <w:rPr>
                <w:rFonts w:ascii="仿宋" w:hAnsi="仿宋" w:eastAsia="仿宋" w:cs="仿宋"/>
                <w:color w:val="000000"/>
                <w:sz w:val="28"/>
                <w:szCs w:val="28"/>
              </w:rPr>
            </w:pPr>
          </w:p>
          <w:p>
            <w:pPr>
              <w:spacing w:line="6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加盖报价单位公章</w:t>
            </w:r>
          </w:p>
          <w:p>
            <w:pPr>
              <w:spacing w:line="600" w:lineRule="exact"/>
              <w:jc w:val="center"/>
              <w:rPr>
                <w:rFonts w:ascii="仿宋" w:hAnsi="仿宋" w:eastAsia="仿宋" w:cs="仿宋"/>
                <w:color w:val="000000"/>
                <w:sz w:val="28"/>
                <w:szCs w:val="28"/>
              </w:rPr>
            </w:pPr>
          </w:p>
        </w:tc>
      </w:tr>
    </w:tbl>
    <w:p>
      <w:pPr>
        <w:spacing w:line="600" w:lineRule="exact"/>
        <w:jc w:val="center"/>
        <w:rPr>
          <w:rFonts w:ascii="仿宋" w:hAnsi="仿宋" w:eastAsia="仿宋" w:cs="仿宋"/>
          <w:kern w:val="2"/>
          <w:sz w:val="28"/>
          <w:szCs w:val="28"/>
        </w:rPr>
      </w:pPr>
      <w:r>
        <w:rPr>
          <w:rFonts w:hint="eastAsia" w:ascii="仿宋" w:hAnsi="仿宋" w:eastAsia="仿宋" w:cs="仿宋"/>
          <w:sz w:val="28"/>
          <w:szCs w:val="28"/>
        </w:rPr>
        <w:t>报价文件包装袋密封件封口格式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Borders>
              <w:top w:val="single" w:color="auto" w:sz="4" w:space="0"/>
              <w:left w:val="single" w:color="auto" w:sz="4" w:space="0"/>
              <w:bottom w:val="single" w:color="auto" w:sz="4" w:space="0"/>
              <w:right w:val="single" w:color="auto" w:sz="4" w:space="0"/>
            </w:tcBorders>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kern w:val="2"/>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pPr>
        <w:spacing w:line="360" w:lineRule="auto"/>
        <w:ind w:firstLine="495" w:firstLineChars="177"/>
        <w:rPr>
          <w:rFonts w:ascii="宋体" w:hAnsi="宋体" w:eastAsia="宋体" w:cs="宋体"/>
          <w:sz w:val="28"/>
          <w:szCs w:val="28"/>
        </w:rPr>
      </w:pPr>
    </w:p>
    <w:sectPr>
      <w:footerReference r:id="rId3" w:type="default"/>
      <w:endnotePr>
        <w:numFmt w:val="decimal"/>
      </w:endnotePr>
      <w:pgSz w:w="11906" w:h="16838"/>
      <w:pgMar w:top="1531" w:right="1418" w:bottom="1531" w:left="1418"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center"/>
      <w:rPr>
        <w:rFonts w:ascii="宋体" w:hAnsi="宋体" w:eastAsia="宋体"/>
        <w:sz w:val="28"/>
        <w:szCs w:val="28"/>
      </w:rPr>
    </w:pPr>
    <w:r>
      <w:rPr>
        <w:rFonts w:ascii="宋体" w:hAnsi="宋体" w:eastAsia="宋体"/>
        <w:sz w:val="28"/>
        <w:szCs w:val="28"/>
      </w:rPr>
      <w:t>第</w:t>
    </w:r>
    <w:r>
      <w:rPr>
        <w:rFonts w:ascii="宋体" w:hAnsi="宋体" w:eastAsia="宋体"/>
        <w:sz w:val="28"/>
        <w:szCs w:val="28"/>
      </w:rPr>
      <w:fldChar w:fldCharType="begin"/>
    </w:r>
    <w:r>
      <w:rPr>
        <w:rFonts w:ascii="宋体" w:hAnsi="宋体" w:eastAsia="宋体"/>
        <w:sz w:val="28"/>
        <w:szCs w:val="28"/>
      </w:rPr>
      <w:instrText xml:space="preserve"> PAGE \* Arabic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579"/>
  <w:characterSpacingControl w:val="doNotCompress"/>
  <w:endnotePr>
    <w:numFmt w:val="decimal"/>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 w:name="KSO_WPS_MARK_KEY" w:val="2b88dc62-5f40-4a6f-8917-8f59e9f92ea8"/>
  </w:docVars>
  <w:rsids>
    <w:rsidRoot w:val="00A12CB9"/>
    <w:rsid w:val="0002300D"/>
    <w:rsid w:val="00034FC9"/>
    <w:rsid w:val="00086835"/>
    <w:rsid w:val="00094A9E"/>
    <w:rsid w:val="00094F83"/>
    <w:rsid w:val="000A1C1D"/>
    <w:rsid w:val="000B28AD"/>
    <w:rsid w:val="000E0BD6"/>
    <w:rsid w:val="00106772"/>
    <w:rsid w:val="00107273"/>
    <w:rsid w:val="00147880"/>
    <w:rsid w:val="00160EE8"/>
    <w:rsid w:val="00185485"/>
    <w:rsid w:val="001A19C1"/>
    <w:rsid w:val="001A2D4F"/>
    <w:rsid w:val="001D3C80"/>
    <w:rsid w:val="001D5040"/>
    <w:rsid w:val="001E1D61"/>
    <w:rsid w:val="00215035"/>
    <w:rsid w:val="002219AF"/>
    <w:rsid w:val="002427A4"/>
    <w:rsid w:val="00255302"/>
    <w:rsid w:val="00255312"/>
    <w:rsid w:val="00260942"/>
    <w:rsid w:val="002A79BB"/>
    <w:rsid w:val="002B02EA"/>
    <w:rsid w:val="002B29FD"/>
    <w:rsid w:val="002F10E1"/>
    <w:rsid w:val="002F34E7"/>
    <w:rsid w:val="002F4CA2"/>
    <w:rsid w:val="002F4F42"/>
    <w:rsid w:val="00301523"/>
    <w:rsid w:val="00315E7D"/>
    <w:rsid w:val="00327600"/>
    <w:rsid w:val="00337CC3"/>
    <w:rsid w:val="003524EE"/>
    <w:rsid w:val="003718EC"/>
    <w:rsid w:val="00373797"/>
    <w:rsid w:val="00376DDE"/>
    <w:rsid w:val="003A0B0F"/>
    <w:rsid w:val="003A593C"/>
    <w:rsid w:val="003B7B3D"/>
    <w:rsid w:val="003D256D"/>
    <w:rsid w:val="003D62C2"/>
    <w:rsid w:val="003F3FCD"/>
    <w:rsid w:val="00401897"/>
    <w:rsid w:val="004029BD"/>
    <w:rsid w:val="00441CDE"/>
    <w:rsid w:val="004A4A62"/>
    <w:rsid w:val="004C7666"/>
    <w:rsid w:val="004D1FB9"/>
    <w:rsid w:val="004E1BC2"/>
    <w:rsid w:val="004E48DC"/>
    <w:rsid w:val="005018FC"/>
    <w:rsid w:val="00505CFA"/>
    <w:rsid w:val="00506F19"/>
    <w:rsid w:val="00520A9D"/>
    <w:rsid w:val="005356A8"/>
    <w:rsid w:val="00541AA5"/>
    <w:rsid w:val="0054683A"/>
    <w:rsid w:val="005938BB"/>
    <w:rsid w:val="00594EF9"/>
    <w:rsid w:val="005A08BF"/>
    <w:rsid w:val="005A262B"/>
    <w:rsid w:val="005E6ABF"/>
    <w:rsid w:val="006160D6"/>
    <w:rsid w:val="00643E7E"/>
    <w:rsid w:val="00650509"/>
    <w:rsid w:val="00650F9E"/>
    <w:rsid w:val="00651B9F"/>
    <w:rsid w:val="006A4AD2"/>
    <w:rsid w:val="006A79C3"/>
    <w:rsid w:val="006D3FF6"/>
    <w:rsid w:val="006E11A1"/>
    <w:rsid w:val="006E6B0C"/>
    <w:rsid w:val="00734E2E"/>
    <w:rsid w:val="007351FD"/>
    <w:rsid w:val="007732F9"/>
    <w:rsid w:val="00794C72"/>
    <w:rsid w:val="007A00C2"/>
    <w:rsid w:val="007B209D"/>
    <w:rsid w:val="007B5773"/>
    <w:rsid w:val="007C1D62"/>
    <w:rsid w:val="007C481B"/>
    <w:rsid w:val="007E2147"/>
    <w:rsid w:val="007F4F34"/>
    <w:rsid w:val="008147D7"/>
    <w:rsid w:val="00817C8A"/>
    <w:rsid w:val="0082246B"/>
    <w:rsid w:val="008574ED"/>
    <w:rsid w:val="00857A5C"/>
    <w:rsid w:val="00865C0C"/>
    <w:rsid w:val="008A6D94"/>
    <w:rsid w:val="008B649E"/>
    <w:rsid w:val="008E6E10"/>
    <w:rsid w:val="008E7ED2"/>
    <w:rsid w:val="00910716"/>
    <w:rsid w:val="00932AC8"/>
    <w:rsid w:val="00956C07"/>
    <w:rsid w:val="00957C77"/>
    <w:rsid w:val="009751AC"/>
    <w:rsid w:val="009978D0"/>
    <w:rsid w:val="009A028B"/>
    <w:rsid w:val="009C2369"/>
    <w:rsid w:val="009D2020"/>
    <w:rsid w:val="009F5ABF"/>
    <w:rsid w:val="00A12CB9"/>
    <w:rsid w:val="00A12F7F"/>
    <w:rsid w:val="00A50A0E"/>
    <w:rsid w:val="00A668B4"/>
    <w:rsid w:val="00A7287C"/>
    <w:rsid w:val="00A747AB"/>
    <w:rsid w:val="00A811B4"/>
    <w:rsid w:val="00AA1D27"/>
    <w:rsid w:val="00AA5EDB"/>
    <w:rsid w:val="00AB63DA"/>
    <w:rsid w:val="00AE4266"/>
    <w:rsid w:val="00AE46F3"/>
    <w:rsid w:val="00B1747B"/>
    <w:rsid w:val="00B4556B"/>
    <w:rsid w:val="00B8777E"/>
    <w:rsid w:val="00B87CDD"/>
    <w:rsid w:val="00BA6575"/>
    <w:rsid w:val="00BC18B3"/>
    <w:rsid w:val="00BD2056"/>
    <w:rsid w:val="00BE16F5"/>
    <w:rsid w:val="00BE6C63"/>
    <w:rsid w:val="00BF6862"/>
    <w:rsid w:val="00C1654B"/>
    <w:rsid w:val="00C259C0"/>
    <w:rsid w:val="00C419DE"/>
    <w:rsid w:val="00C57EEE"/>
    <w:rsid w:val="00C76EDE"/>
    <w:rsid w:val="00C81216"/>
    <w:rsid w:val="00CB2436"/>
    <w:rsid w:val="00CB4D65"/>
    <w:rsid w:val="00D21177"/>
    <w:rsid w:val="00D502CF"/>
    <w:rsid w:val="00D56696"/>
    <w:rsid w:val="00D765AA"/>
    <w:rsid w:val="00D76BEF"/>
    <w:rsid w:val="00DB65DB"/>
    <w:rsid w:val="00DE3501"/>
    <w:rsid w:val="00E17288"/>
    <w:rsid w:val="00E245DA"/>
    <w:rsid w:val="00E71D80"/>
    <w:rsid w:val="00E81DF8"/>
    <w:rsid w:val="00EB2E12"/>
    <w:rsid w:val="00ED0355"/>
    <w:rsid w:val="00F1310B"/>
    <w:rsid w:val="00F24663"/>
    <w:rsid w:val="00F316A2"/>
    <w:rsid w:val="00F40C35"/>
    <w:rsid w:val="00F51832"/>
    <w:rsid w:val="00F51926"/>
    <w:rsid w:val="00F96626"/>
    <w:rsid w:val="00FC20CD"/>
    <w:rsid w:val="00FE5AA0"/>
    <w:rsid w:val="0F587009"/>
    <w:rsid w:val="0FF74072"/>
    <w:rsid w:val="192561AE"/>
    <w:rsid w:val="26D27249"/>
    <w:rsid w:val="32FDDE91"/>
    <w:rsid w:val="3EB92D70"/>
    <w:rsid w:val="3ED70ECC"/>
    <w:rsid w:val="49144BE9"/>
    <w:rsid w:val="4A0B7517"/>
    <w:rsid w:val="55993961"/>
    <w:rsid w:val="55E52F3C"/>
    <w:rsid w:val="62AFA370"/>
    <w:rsid w:val="6CFA617E"/>
    <w:rsid w:val="6EFC1DFF"/>
    <w:rsid w:val="762D203C"/>
    <w:rsid w:val="77CA0081"/>
    <w:rsid w:val="7BFB01E4"/>
    <w:rsid w:val="7EF173E1"/>
    <w:rsid w:val="7F137BBE"/>
    <w:rsid w:val="BD2F3546"/>
    <w:rsid w:val="F3FEAC8B"/>
    <w:rsid w:val="FFFD4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1"/>
      <w:sz w:val="32"/>
      <w:szCs w:val="32"/>
      <w:lang w:val="en-US" w:eastAsia="zh-CN" w:bidi="ar-SA"/>
    </w:rPr>
  </w:style>
  <w:style w:type="paragraph" w:styleId="3">
    <w:name w:val="heading 1"/>
    <w:next w:val="1"/>
    <w:autoRedefine/>
    <w:qFormat/>
    <w:uiPriority w:val="9"/>
    <w:pPr>
      <w:keepNext/>
      <w:keepLines/>
      <w:tabs>
        <w:tab w:val="left" w:pos="432"/>
      </w:tabs>
      <w:spacing w:before="340" w:after="330"/>
      <w:ind w:left="432" w:hanging="432"/>
      <w:outlineLvl w:val="0"/>
    </w:pPr>
    <w:rPr>
      <w:rFonts w:ascii="华文细黑" w:hAnsi="华文细黑" w:eastAsia="华文细黑" w:cs="华文细黑"/>
      <w:b/>
      <w:bCs/>
      <w:kern w:val="1"/>
      <w:sz w:val="52"/>
      <w:szCs w:val="52"/>
      <w:lang w:val="en-US" w:eastAsia="zh-CN" w:bidi="ar-SA"/>
    </w:rPr>
  </w:style>
  <w:style w:type="paragraph" w:styleId="2">
    <w:name w:val="heading 2"/>
    <w:basedOn w:val="1"/>
    <w:next w:val="1"/>
    <w:autoRedefine/>
    <w:semiHidden/>
    <w:unhideWhenUsed/>
    <w:qFormat/>
    <w:uiPriority w:val="9"/>
    <w:pPr>
      <w:tabs>
        <w:tab w:val="left" w:pos="576"/>
      </w:tabs>
      <w:spacing w:before="260" w:after="260"/>
      <w:ind w:left="576" w:hanging="576"/>
      <w:outlineLvl w:val="1"/>
    </w:pPr>
    <w:rPr>
      <w:rFonts w:ascii="华文细黑" w:hAnsi="华文细黑" w:eastAsia="华文细黑" w:cs="华文细黑"/>
      <w:b/>
      <w:bCs/>
      <w:sz w:val="44"/>
      <w:szCs w:val="44"/>
    </w:rPr>
  </w:style>
  <w:style w:type="paragraph" w:styleId="4">
    <w:name w:val="heading 3"/>
    <w:next w:val="1"/>
    <w:semiHidden/>
    <w:unhideWhenUsed/>
    <w:qFormat/>
    <w:uiPriority w:val="9"/>
    <w:pPr>
      <w:keepNext/>
      <w:keepLines/>
      <w:tabs>
        <w:tab w:val="left" w:pos="720"/>
      </w:tabs>
      <w:spacing w:before="260" w:after="260" w:line="415" w:lineRule="auto"/>
      <w:ind w:left="720" w:hanging="720"/>
      <w:outlineLvl w:val="2"/>
    </w:pPr>
    <w:rPr>
      <w:rFonts w:ascii="Times New Roman" w:hAnsi="Times New Roman" w:eastAsia="华文细黑" w:cs="Times New Roman"/>
      <w:kern w:val="1"/>
      <w:sz w:val="36"/>
      <w:szCs w:val="36"/>
      <w:lang w:val="en-US" w:eastAsia="zh-CN" w:bidi="ar-SA"/>
    </w:rPr>
  </w:style>
  <w:style w:type="paragraph" w:styleId="5">
    <w:name w:val="heading 4"/>
    <w:next w:val="1"/>
    <w:semiHidden/>
    <w:unhideWhenUsed/>
    <w:qFormat/>
    <w:uiPriority w:val="9"/>
    <w:pPr>
      <w:keepNext/>
      <w:keepLines/>
      <w:tabs>
        <w:tab w:val="left" w:pos="864"/>
      </w:tabs>
      <w:spacing w:before="280" w:after="290" w:line="377" w:lineRule="auto"/>
      <w:ind w:left="864" w:hanging="864"/>
      <w:outlineLvl w:val="3"/>
    </w:pPr>
    <w:rPr>
      <w:rFonts w:ascii="Arial" w:hAnsi="Arial" w:eastAsia="黑体" w:cs="Arial"/>
      <w:b/>
      <w:bCs/>
      <w:kern w:val="1"/>
      <w:sz w:val="28"/>
      <w:szCs w:val="28"/>
      <w:lang w:val="en-US" w:eastAsia="zh-CN" w:bidi="ar-SA"/>
    </w:rPr>
  </w:style>
  <w:style w:type="paragraph" w:styleId="6">
    <w:name w:val="heading 5"/>
    <w:next w:val="1"/>
    <w:autoRedefine/>
    <w:semiHidden/>
    <w:unhideWhenUsed/>
    <w:qFormat/>
    <w:uiPriority w:val="9"/>
    <w:pPr>
      <w:keepNext/>
      <w:keepLines/>
      <w:tabs>
        <w:tab w:val="left" w:pos="1008"/>
      </w:tabs>
      <w:spacing w:before="280" w:after="290" w:line="377" w:lineRule="auto"/>
      <w:ind w:left="1008" w:hanging="1008"/>
      <w:outlineLvl w:val="4"/>
    </w:pPr>
    <w:rPr>
      <w:rFonts w:ascii="Times New Roman" w:hAnsi="Times New Roman" w:eastAsia="宋体" w:cs="Times New Roman"/>
      <w:b/>
      <w:bCs/>
      <w:kern w:val="1"/>
      <w:sz w:val="28"/>
      <w:szCs w:val="28"/>
      <w:lang w:val="en-US" w:eastAsia="zh-CN" w:bidi="ar-SA"/>
    </w:rPr>
  </w:style>
  <w:style w:type="paragraph" w:styleId="7">
    <w:name w:val="heading 6"/>
    <w:next w:val="1"/>
    <w:autoRedefine/>
    <w:semiHidden/>
    <w:unhideWhenUsed/>
    <w:qFormat/>
    <w:uiPriority w:val="9"/>
    <w:pPr>
      <w:keepNext/>
      <w:keepLines/>
      <w:tabs>
        <w:tab w:val="left" w:pos="1152"/>
      </w:tabs>
      <w:spacing w:before="240" w:after="64" w:line="319" w:lineRule="auto"/>
      <w:ind w:left="1152" w:hanging="1152"/>
      <w:outlineLvl w:val="5"/>
    </w:pPr>
    <w:rPr>
      <w:rFonts w:ascii="Arial" w:hAnsi="Arial" w:eastAsia="黑体" w:cs="Arial"/>
      <w:b/>
      <w:bCs/>
      <w:kern w:val="1"/>
      <w:sz w:val="24"/>
      <w:szCs w:val="24"/>
      <w:lang w:val="en-US" w:eastAsia="zh-CN" w:bidi="ar-SA"/>
    </w:rPr>
  </w:style>
  <w:style w:type="paragraph" w:styleId="8">
    <w:name w:val="heading 7"/>
    <w:next w:val="1"/>
    <w:autoRedefine/>
    <w:qFormat/>
    <w:uiPriority w:val="0"/>
    <w:pPr>
      <w:keepNext/>
      <w:keepLines/>
      <w:tabs>
        <w:tab w:val="left" w:pos="1296"/>
      </w:tabs>
      <w:spacing w:before="240" w:after="64" w:line="319" w:lineRule="auto"/>
      <w:ind w:left="1296" w:hanging="1296"/>
      <w:outlineLvl w:val="6"/>
    </w:pPr>
    <w:rPr>
      <w:rFonts w:ascii="Times New Roman" w:hAnsi="Times New Roman" w:eastAsia="宋体" w:cs="Times New Roman"/>
      <w:b/>
      <w:bCs/>
      <w:kern w:val="1"/>
      <w:sz w:val="24"/>
      <w:szCs w:val="24"/>
      <w:lang w:val="en-US" w:eastAsia="zh-CN" w:bidi="ar-SA"/>
    </w:rPr>
  </w:style>
  <w:style w:type="paragraph" w:styleId="9">
    <w:name w:val="heading 8"/>
    <w:next w:val="1"/>
    <w:qFormat/>
    <w:uiPriority w:val="0"/>
    <w:pPr>
      <w:keepNext/>
      <w:keepLines/>
      <w:tabs>
        <w:tab w:val="left" w:pos="1440"/>
      </w:tabs>
      <w:spacing w:before="240" w:after="64" w:line="319" w:lineRule="auto"/>
      <w:ind w:left="1440" w:hanging="1440"/>
      <w:outlineLvl w:val="7"/>
    </w:pPr>
    <w:rPr>
      <w:rFonts w:ascii="Arial" w:hAnsi="Arial" w:eastAsia="黑体" w:cs="Arial"/>
      <w:kern w:val="1"/>
      <w:sz w:val="24"/>
      <w:szCs w:val="24"/>
      <w:lang w:val="en-US" w:eastAsia="zh-CN" w:bidi="ar-SA"/>
    </w:rPr>
  </w:style>
  <w:style w:type="paragraph" w:styleId="10">
    <w:name w:val="heading 9"/>
    <w:next w:val="1"/>
    <w:autoRedefine/>
    <w:qFormat/>
    <w:uiPriority w:val="0"/>
    <w:pPr>
      <w:keepNext/>
      <w:keepLines/>
      <w:tabs>
        <w:tab w:val="left" w:pos="1584"/>
      </w:tabs>
      <w:spacing w:before="240" w:after="64" w:line="319" w:lineRule="auto"/>
      <w:ind w:left="1584" w:hanging="1584"/>
      <w:outlineLvl w:val="8"/>
    </w:pPr>
    <w:rPr>
      <w:rFonts w:ascii="Arial" w:hAnsi="Arial" w:eastAsia="黑体" w:cs="Arial"/>
      <w:kern w:val="1"/>
      <w:sz w:val="21"/>
      <w:szCs w:val="21"/>
      <w:lang w:val="en-US" w:eastAsia="zh-CN" w:bidi="ar-SA"/>
    </w:rPr>
  </w:style>
  <w:style w:type="character" w:default="1" w:styleId="27">
    <w:name w:val="Default Paragraph Font"/>
    <w:autoRedefine/>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eastAsia="宋体"/>
      <w:kern w:val="2"/>
      <w:sz w:val="21"/>
      <w:szCs w:val="20"/>
    </w:rPr>
  </w:style>
  <w:style w:type="paragraph" w:styleId="12">
    <w:name w:val="annotation text"/>
    <w:basedOn w:val="1"/>
    <w:link w:val="47"/>
    <w:qFormat/>
    <w:uiPriority w:val="99"/>
    <w:pPr>
      <w:jc w:val="left"/>
    </w:pPr>
  </w:style>
  <w:style w:type="paragraph" w:styleId="13">
    <w:name w:val="Body Text"/>
    <w:qFormat/>
    <w:uiPriority w:val="0"/>
    <w:pPr>
      <w:widowControl w:val="0"/>
      <w:spacing w:after="120"/>
      <w:jc w:val="both"/>
    </w:pPr>
    <w:rPr>
      <w:rFonts w:ascii="Times New Roman" w:hAnsi="Times New Roman" w:eastAsia="仿宋_GB2312" w:cs="Times New Roman"/>
      <w:kern w:val="1"/>
      <w:sz w:val="32"/>
      <w:szCs w:val="32"/>
      <w:lang w:val="en-US" w:eastAsia="zh-CN" w:bidi="ar-SA"/>
    </w:rPr>
  </w:style>
  <w:style w:type="paragraph" w:styleId="14">
    <w:name w:val="Body Text Indent"/>
    <w:qFormat/>
    <w:uiPriority w:val="0"/>
    <w:pPr>
      <w:spacing w:before="100" w:beforeAutospacing="1" w:after="100" w:afterAutospacing="1"/>
    </w:pPr>
    <w:rPr>
      <w:rFonts w:ascii="宋体" w:hAnsi="宋体" w:eastAsia="仿宋_GB2312" w:cs="宋体"/>
      <w:kern w:val="1"/>
      <w:sz w:val="24"/>
      <w:szCs w:val="32"/>
      <w:lang w:val="en-US" w:eastAsia="zh-CN" w:bidi="ar-SA"/>
    </w:rPr>
  </w:style>
  <w:style w:type="paragraph" w:styleId="15">
    <w:name w:val="Plain Text"/>
    <w:qFormat/>
    <w:uiPriority w:val="0"/>
    <w:pPr>
      <w:widowControl w:val="0"/>
      <w:jc w:val="both"/>
    </w:pPr>
    <w:rPr>
      <w:rFonts w:ascii="宋体" w:hAnsi="宋体" w:eastAsia="宋体" w:cs="宋体"/>
      <w:kern w:val="1"/>
      <w:sz w:val="21"/>
      <w:szCs w:val="21"/>
      <w:lang w:val="en-US" w:eastAsia="zh-CN" w:bidi="ar-SA"/>
    </w:rPr>
  </w:style>
  <w:style w:type="paragraph" w:styleId="16">
    <w:name w:val="Date"/>
    <w:next w:val="1"/>
    <w:qFormat/>
    <w:uiPriority w:val="0"/>
    <w:pPr>
      <w:widowControl w:val="0"/>
      <w:ind w:left="100"/>
      <w:jc w:val="both"/>
    </w:pPr>
    <w:rPr>
      <w:rFonts w:ascii="Times New Roman" w:hAnsi="Times New Roman" w:eastAsia="仿宋_GB2312" w:cs="Times New Roman"/>
      <w:kern w:val="1"/>
      <w:sz w:val="32"/>
      <w:szCs w:val="32"/>
      <w:lang w:val="en-US" w:eastAsia="zh-CN" w:bidi="ar-SA"/>
    </w:rPr>
  </w:style>
  <w:style w:type="paragraph" w:styleId="17">
    <w:name w:val="Body Text Indent 2"/>
    <w:basedOn w:val="1"/>
    <w:link w:val="49"/>
    <w:qFormat/>
    <w:uiPriority w:val="99"/>
    <w:pPr>
      <w:spacing w:after="120" w:line="480" w:lineRule="auto"/>
      <w:ind w:left="420" w:leftChars="200"/>
    </w:pPr>
  </w:style>
  <w:style w:type="paragraph" w:styleId="18">
    <w:name w:val="Balloon Text"/>
    <w:qFormat/>
    <w:uiPriority w:val="0"/>
    <w:pPr>
      <w:widowControl w:val="0"/>
      <w:jc w:val="both"/>
    </w:pPr>
    <w:rPr>
      <w:rFonts w:ascii="Times New Roman" w:hAnsi="Times New Roman" w:eastAsia="仿宋_GB2312" w:cs="Times New Roman"/>
      <w:kern w:val="1"/>
      <w:sz w:val="18"/>
      <w:szCs w:val="18"/>
      <w:lang w:val="en-US" w:eastAsia="zh-CN" w:bidi="ar-SA"/>
    </w:rPr>
  </w:style>
  <w:style w:type="paragraph" w:styleId="19">
    <w:name w:val="footer"/>
    <w:qFormat/>
    <w:uiPriority w:val="0"/>
    <w:pPr>
      <w:widowControl w:val="0"/>
    </w:pPr>
    <w:rPr>
      <w:rFonts w:ascii="Times New Roman" w:hAnsi="Times New Roman" w:eastAsia="仿宋_GB2312" w:cs="Times New Roman"/>
      <w:kern w:val="1"/>
      <w:sz w:val="18"/>
      <w:szCs w:val="18"/>
      <w:lang w:val="en-US" w:eastAsia="zh-CN" w:bidi="ar-SA"/>
    </w:rPr>
  </w:style>
  <w:style w:type="paragraph" w:styleId="20">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solid" w:color="auto" w:fill="auto"/>
      <w:jc w:val="center"/>
    </w:pPr>
    <w:rPr>
      <w:rFonts w:ascii="Times New Roman" w:hAnsi="Times New Roman" w:eastAsia="仿宋_GB2312" w:cs="Times New Roman"/>
      <w:kern w:val="1"/>
      <w:sz w:val="18"/>
      <w:szCs w:val="18"/>
      <w:lang w:val="en-US" w:eastAsia="zh-CN" w:bidi="ar-SA"/>
    </w:rPr>
  </w:style>
  <w:style w:type="paragraph" w:styleId="21">
    <w:name w:val="Body Text Indent 3"/>
    <w:qFormat/>
    <w:uiPriority w:val="0"/>
    <w:pPr>
      <w:spacing w:before="100" w:beforeAutospacing="1" w:after="100" w:afterAutospacing="1"/>
    </w:pPr>
    <w:rPr>
      <w:rFonts w:ascii="宋体" w:hAnsi="宋体" w:eastAsia="仿宋_GB2312" w:cs="宋体"/>
      <w:kern w:val="1"/>
      <w:sz w:val="24"/>
      <w:szCs w:val="32"/>
      <w:lang w:val="en-US" w:eastAsia="zh-CN" w:bidi="ar-SA"/>
    </w:rPr>
  </w:style>
  <w:style w:type="paragraph" w:styleId="22">
    <w:name w:val="Body Text 2"/>
    <w:qFormat/>
    <w:uiPriority w:val="0"/>
    <w:pPr>
      <w:widowControl w:val="0"/>
      <w:spacing w:after="120" w:line="480" w:lineRule="auto"/>
      <w:jc w:val="both"/>
    </w:pPr>
    <w:rPr>
      <w:rFonts w:ascii="Times New Roman" w:hAnsi="Times New Roman" w:eastAsia="仿宋_GB2312" w:cs="Times New Roman"/>
      <w:kern w:val="1"/>
      <w:sz w:val="32"/>
      <w:szCs w:val="32"/>
      <w:lang w:val="en-US" w:eastAsia="zh-CN" w:bidi="ar-SA"/>
    </w:rPr>
  </w:style>
  <w:style w:type="paragraph" w:styleId="23">
    <w:name w:val="annotation subject"/>
    <w:basedOn w:val="12"/>
    <w:next w:val="12"/>
    <w:link w:val="48"/>
    <w:qFormat/>
    <w:uiPriority w:val="99"/>
    <w:rPr>
      <w:b/>
      <w:bCs/>
    </w:rPr>
  </w:style>
  <w:style w:type="paragraph" w:styleId="24">
    <w:name w:val="Body Text First Indent"/>
    <w:qFormat/>
    <w:uiPriority w:val="0"/>
    <w:pPr>
      <w:widowControl w:val="0"/>
      <w:ind w:firstLine="420"/>
      <w:jc w:val="both"/>
    </w:pPr>
    <w:rPr>
      <w:rFonts w:ascii="Times New Roman" w:hAnsi="Times New Roman" w:eastAsia="宋体" w:cs="Times New Roman"/>
      <w:kern w:val="1"/>
      <w:sz w:val="21"/>
      <w:lang w:val="en-US" w:eastAsia="zh-CN" w:bidi="ar-SA"/>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rFonts w:eastAsia="宋体"/>
      <w:b/>
      <w:bCs/>
      <w:kern w:val="0"/>
      <w:sz w:val="20"/>
      <w:szCs w:val="20"/>
    </w:rPr>
  </w:style>
  <w:style w:type="character" w:styleId="29">
    <w:name w:val="page number"/>
    <w:qFormat/>
    <w:uiPriority w:val="0"/>
  </w:style>
  <w:style w:type="character" w:styleId="30">
    <w:name w:val="annotation reference"/>
    <w:basedOn w:val="27"/>
    <w:qFormat/>
    <w:uiPriority w:val="99"/>
    <w:rPr>
      <w:sz w:val="21"/>
      <w:szCs w:val="21"/>
    </w:rPr>
  </w:style>
  <w:style w:type="paragraph" w:customStyle="1" w:styleId="31">
    <w:name w:val="样式 仿宋 行距: 1.5 倍行距"/>
    <w:qFormat/>
    <w:uiPriority w:val="0"/>
    <w:pPr>
      <w:widowControl w:val="0"/>
      <w:spacing w:line="360" w:lineRule="auto"/>
      <w:jc w:val="both"/>
    </w:pPr>
    <w:rPr>
      <w:rFonts w:ascii="仿宋" w:hAnsi="仿宋" w:eastAsia="仿宋" w:cs="宋体"/>
      <w:kern w:val="1"/>
      <w:sz w:val="24"/>
      <w:lang w:val="en-US" w:eastAsia="zh-CN" w:bidi="ar-SA"/>
    </w:rPr>
  </w:style>
  <w:style w:type="paragraph" w:customStyle="1" w:styleId="32">
    <w:name w:val="普通 (Web)"/>
    <w:qFormat/>
    <w:uiPriority w:val="0"/>
    <w:pPr>
      <w:spacing w:before="100" w:beforeAutospacing="1" w:after="100" w:afterAutospacing="1"/>
    </w:pPr>
    <w:rPr>
      <w:rFonts w:ascii="宋体" w:hAnsi="宋体" w:eastAsia="宋体" w:cs="宋体"/>
      <w:kern w:val="1"/>
      <w:sz w:val="24"/>
      <w:szCs w:val="24"/>
      <w:lang w:val="en-US" w:eastAsia="zh-CN" w:bidi="ar-SA"/>
    </w:rPr>
  </w:style>
  <w:style w:type="paragraph" w:customStyle="1" w:styleId="33">
    <w:name w:val="Char Char1 Char Char"/>
    <w:qFormat/>
    <w:uiPriority w:val="0"/>
    <w:pPr>
      <w:widowControl w:val="0"/>
      <w:spacing w:line="360" w:lineRule="auto"/>
      <w:ind w:firstLine="200"/>
      <w:jc w:val="both"/>
    </w:pPr>
    <w:rPr>
      <w:rFonts w:ascii="宋体" w:hAnsi="宋体" w:eastAsia="宋体" w:cs="宋体"/>
      <w:kern w:val="1"/>
      <w:sz w:val="24"/>
      <w:szCs w:val="24"/>
      <w:lang w:val="en-US" w:eastAsia="zh-CN" w:bidi="ar-SA"/>
    </w:rPr>
  </w:style>
  <w:style w:type="paragraph" w:customStyle="1" w:styleId="34">
    <w:name w:val="Char Char Char1 Char8"/>
    <w:qFormat/>
    <w:uiPriority w:val="0"/>
    <w:pPr>
      <w:widowControl w:val="0"/>
      <w:spacing w:line="360" w:lineRule="auto"/>
      <w:ind w:firstLine="200"/>
      <w:jc w:val="both"/>
    </w:pPr>
    <w:rPr>
      <w:rFonts w:ascii="宋体" w:hAnsi="宋体" w:eastAsia="宋体" w:cs="宋体"/>
      <w:kern w:val="1"/>
      <w:sz w:val="24"/>
      <w:szCs w:val="24"/>
      <w:lang w:val="en-US" w:eastAsia="zh-CN" w:bidi="ar-SA"/>
    </w:rPr>
  </w:style>
  <w:style w:type="paragraph" w:customStyle="1" w:styleId="35">
    <w:name w:val="批注文字1"/>
    <w:qFormat/>
    <w:uiPriority w:val="0"/>
    <w:pPr>
      <w:widowControl w:val="0"/>
      <w:spacing w:line="360" w:lineRule="atLeast"/>
    </w:pPr>
    <w:rPr>
      <w:rFonts w:ascii="Times New Roman" w:hAnsi="Times New Roman" w:eastAsia="宋体" w:cs="Times New Roman"/>
      <w:kern w:val="1"/>
      <w:sz w:val="24"/>
      <w:lang w:val="en-US" w:eastAsia="zh-CN" w:bidi="ar-SA"/>
    </w:rPr>
  </w:style>
  <w:style w:type="paragraph" w:customStyle="1" w:styleId="36">
    <w:name w:val="item"/>
    <w:qFormat/>
    <w:uiPriority w:val="0"/>
    <w:pPr>
      <w:spacing w:before="100" w:beforeAutospacing="1" w:after="100" w:afterAutospacing="1"/>
    </w:pPr>
    <w:rPr>
      <w:rFonts w:ascii="宋体" w:hAnsi="宋体" w:eastAsia="宋体" w:cs="宋体"/>
      <w:kern w:val="1"/>
      <w:lang w:val="en-US" w:eastAsia="zh-CN" w:bidi="ar-SA"/>
    </w:rPr>
  </w:style>
  <w:style w:type="character" w:customStyle="1" w:styleId="37">
    <w:name w:val="页眉 Char"/>
    <w:qFormat/>
    <w:uiPriority w:val="0"/>
    <w:rPr>
      <w:sz w:val="18"/>
      <w:szCs w:val="18"/>
    </w:rPr>
  </w:style>
  <w:style w:type="character" w:customStyle="1" w:styleId="38">
    <w:name w:val="纯文本 Char"/>
    <w:autoRedefine/>
    <w:qFormat/>
    <w:uiPriority w:val="0"/>
    <w:rPr>
      <w:rFonts w:ascii="宋体" w:hAnsi="宋体" w:eastAsia="宋体" w:cs="宋体"/>
      <w:sz w:val="21"/>
      <w:szCs w:val="21"/>
    </w:rPr>
  </w:style>
  <w:style w:type="character" w:customStyle="1" w:styleId="39">
    <w:name w:val="正文文本 2 Char"/>
    <w:autoRedefine/>
    <w:qFormat/>
    <w:uiPriority w:val="0"/>
  </w:style>
  <w:style w:type="character" w:customStyle="1" w:styleId="40">
    <w:name w:val="标题 3 Char"/>
    <w:autoRedefine/>
    <w:qFormat/>
    <w:uiPriority w:val="0"/>
    <w:rPr>
      <w:rFonts w:eastAsia="华文细黑"/>
      <w:kern w:val="0"/>
      <w:sz w:val="36"/>
      <w:szCs w:val="36"/>
    </w:rPr>
  </w:style>
  <w:style w:type="character" w:customStyle="1" w:styleId="41">
    <w:name w:val="普通文字 Char1"/>
    <w:autoRedefine/>
    <w:qFormat/>
    <w:uiPriority w:val="0"/>
    <w:rPr>
      <w:rFonts w:ascii="宋体" w:hAnsi="宋体" w:eastAsia="宋体" w:cs="Courier New"/>
      <w:sz w:val="21"/>
      <w:szCs w:val="21"/>
    </w:rPr>
  </w:style>
  <w:style w:type="character" w:customStyle="1" w:styleId="42">
    <w:name w:val="批注框文本 Char"/>
    <w:autoRedefine/>
    <w:qFormat/>
    <w:uiPriority w:val="0"/>
    <w:rPr>
      <w:sz w:val="18"/>
      <w:szCs w:val="18"/>
    </w:rPr>
  </w:style>
  <w:style w:type="character" w:customStyle="1" w:styleId="43">
    <w:name w:val="批注文字 Char"/>
    <w:autoRedefine/>
    <w:qFormat/>
    <w:uiPriority w:val="0"/>
    <w:rPr>
      <w:sz w:val="24"/>
    </w:rPr>
  </w:style>
  <w:style w:type="character" w:customStyle="1" w:styleId="44">
    <w:name w:val="正文文本 Char"/>
    <w:autoRedefine/>
    <w:qFormat/>
    <w:uiPriority w:val="0"/>
    <w:rPr>
      <w:rFonts w:eastAsia="仿宋_GB2312"/>
      <w:kern w:val="1"/>
      <w:sz w:val="32"/>
      <w:szCs w:val="32"/>
    </w:rPr>
  </w:style>
  <w:style w:type="character" w:customStyle="1" w:styleId="45">
    <w:name w:val="正文首行缩进 Char"/>
    <w:autoRedefine/>
    <w:qFormat/>
    <w:uiPriority w:val="0"/>
    <w:rPr>
      <w:rFonts w:eastAsia="仿宋_GB2312"/>
      <w:kern w:val="1"/>
      <w:sz w:val="21"/>
      <w:szCs w:val="32"/>
    </w:rPr>
  </w:style>
  <w:style w:type="character" w:customStyle="1" w:styleId="46">
    <w:name w:val="标题 1 Char"/>
    <w:autoRedefine/>
    <w:qFormat/>
    <w:uiPriority w:val="0"/>
    <w:rPr>
      <w:rFonts w:ascii="华文细黑" w:hAnsi="华文细黑" w:eastAsia="华文细黑" w:cs="华文细黑"/>
      <w:b/>
      <w:bCs/>
      <w:sz w:val="52"/>
      <w:szCs w:val="52"/>
    </w:rPr>
  </w:style>
  <w:style w:type="character" w:customStyle="1" w:styleId="47">
    <w:name w:val="批注文字 Char1"/>
    <w:basedOn w:val="27"/>
    <w:link w:val="12"/>
    <w:autoRedefine/>
    <w:qFormat/>
    <w:uiPriority w:val="99"/>
    <w:rPr>
      <w:kern w:val="1"/>
      <w:sz w:val="32"/>
      <w:szCs w:val="32"/>
    </w:rPr>
  </w:style>
  <w:style w:type="character" w:customStyle="1" w:styleId="48">
    <w:name w:val="批注主题 Char"/>
    <w:basedOn w:val="47"/>
    <w:link w:val="23"/>
    <w:autoRedefine/>
    <w:qFormat/>
    <w:uiPriority w:val="99"/>
    <w:rPr>
      <w:b/>
      <w:bCs/>
      <w:kern w:val="1"/>
      <w:sz w:val="32"/>
      <w:szCs w:val="32"/>
    </w:rPr>
  </w:style>
  <w:style w:type="character" w:customStyle="1" w:styleId="49">
    <w:name w:val="正文文本缩进 2 Char"/>
    <w:basedOn w:val="27"/>
    <w:link w:val="17"/>
    <w:autoRedefine/>
    <w:qFormat/>
    <w:uiPriority w:val="99"/>
    <w:rPr>
      <w:kern w:val="1"/>
      <w:sz w:val="32"/>
      <w:szCs w:val="32"/>
    </w:rPr>
  </w:style>
  <w:style w:type="paragraph" w:customStyle="1" w:styleId="50">
    <w:name w:val="正文、居中"/>
    <w:basedOn w:val="1"/>
    <w:autoRedefine/>
    <w:qFormat/>
    <w:uiPriority w:val="0"/>
    <w:pPr>
      <w:jc w:val="center"/>
    </w:pPr>
    <w:rPr>
      <w:rFonts w:eastAsia="宋体"/>
      <w:kern w:val="2"/>
      <w:sz w:val="21"/>
      <w:szCs w:val="24"/>
    </w:rPr>
  </w:style>
  <w:style w:type="paragraph" w:styleId="51">
    <w:name w:val="List Paragraph"/>
    <w:basedOn w:val="1"/>
    <w:autoRedefine/>
    <w:qFormat/>
    <w:uiPriority w:val="99"/>
    <w:pPr>
      <w:ind w:firstLine="420" w:firstLineChars="200"/>
    </w:pPr>
  </w:style>
  <w:style w:type="paragraph" w:customStyle="1" w:styleId="52">
    <w:name w:val="修订1"/>
    <w:autoRedefine/>
    <w:qFormat/>
    <w:uiPriority w:val="99"/>
    <w:rPr>
      <w:rFonts w:ascii="Times New Roman" w:hAnsi="Times New Roman" w:eastAsia="仿宋_GB2312" w:cs="Times New Roman"/>
      <w:kern w:val="1"/>
      <w:sz w:val="32"/>
      <w:szCs w:val="32"/>
      <w:lang w:val="en-US" w:eastAsia="zh-CN" w:bidi="ar-SA"/>
    </w:rPr>
  </w:style>
  <w:style w:type="paragraph" w:customStyle="1" w:styleId="53">
    <w:name w:val="Revision1"/>
    <w:autoRedefine/>
    <w:hidden/>
    <w:semiHidden/>
    <w:qFormat/>
    <w:uiPriority w:val="99"/>
    <w:rPr>
      <w:rFonts w:ascii="Times New Roman" w:hAnsi="Times New Roman" w:eastAsia="仿宋_GB2312" w:cs="Times New Roman"/>
      <w:kern w:val="1"/>
      <w:sz w:val="32"/>
      <w:szCs w:val="32"/>
      <w:lang w:val="en-US" w:eastAsia="zh-CN" w:bidi="ar-SA"/>
    </w:rPr>
  </w:style>
  <w:style w:type="paragraph" w:customStyle="1" w:styleId="54">
    <w:name w:val="修订2"/>
    <w:autoRedefine/>
    <w:hidden/>
    <w:semiHidden/>
    <w:qFormat/>
    <w:uiPriority w:val="99"/>
    <w:rPr>
      <w:rFonts w:ascii="Times New Roman" w:hAnsi="Times New Roman" w:eastAsia="仿宋_GB2312" w:cs="Times New Roman"/>
      <w:kern w:val="1"/>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3093</Words>
  <Characters>3282</Characters>
  <Lines>25</Lines>
  <Paragraphs>7</Paragraphs>
  <TotalTime>0</TotalTime>
  <ScaleCrop>false</ScaleCrop>
  <LinksUpToDate>false</LinksUpToDate>
  <CharactersWithSpaces>3422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2023-12-26T02:25:00Z</dcterms:created>
  <dc:creator>李康华</dc:creator>
  <cp:lastModifiedBy>sky</cp:lastModifiedBy>
  <cp:lastPrinted>2023-12-27T07:09:00Z</cp:lastPrinted>
  <dcterms:modified xsi:type="dcterms:W3CDTF">2023-12-29T09:53:46Z</dcterms:modified>
  <dc:title>比</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AF4C9A38FAA2C7C4674F89653483FF88_43</vt:lpwstr>
  </property>
</Properties>
</file>