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上实T2楼空气净化器购置项目询价公告</w:t>
      </w:r>
    </w:p>
    <w:p>
      <w:pPr>
        <w:spacing w:line="560" w:lineRule="exact"/>
        <w:rPr>
          <w:rFonts w:ascii="方正小标宋_GBK" w:hAnsi="方正小标宋_GBK" w:eastAsia="方正小标宋_GBK" w:cs="方正小标宋_GBK"/>
          <w:sz w:val="32"/>
          <w:szCs w:val="32"/>
        </w:rPr>
      </w:pPr>
    </w:p>
    <w:p>
      <w:pPr>
        <w:spacing w:line="560" w:lineRule="exact"/>
        <w:ind w:firstLine="640" w:firstLineChars="200"/>
        <w:rPr>
          <w:rFonts w:ascii="黑体" w:hAnsi="黑体" w:eastAsia="黑体" w:cs="黑体"/>
          <w:sz w:val="32"/>
          <w:szCs w:val="32"/>
          <w:lang w:eastAsia="zh-Hans"/>
        </w:rPr>
      </w:pPr>
      <w:r>
        <w:rPr>
          <w:rFonts w:hint="eastAsia" w:ascii="黑体" w:hAnsi="黑体" w:eastAsia="黑体" w:cs="黑体"/>
          <w:sz w:val="32"/>
          <w:szCs w:val="32"/>
          <w:lang w:eastAsia="zh-Hans"/>
        </w:rPr>
        <w:t>一、项目基本情况</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eastAsia="zh-Hans"/>
        </w:rPr>
        <w:t>采购单位</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青岛城新城市服务有限公司</w:t>
      </w:r>
    </w:p>
    <w:p>
      <w:p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eastAsia="zh-Hans"/>
        </w:rPr>
        <w:t>服务名称</w:t>
      </w:r>
      <w:r>
        <w:rPr>
          <w:rFonts w:ascii="仿宋_GB2312" w:hAnsi="仿宋_GB2312" w:eastAsia="仿宋_GB2312" w:cs="仿宋_GB2312"/>
          <w:sz w:val="32"/>
          <w:szCs w:val="32"/>
          <w:lang w:eastAsia="zh-Hans"/>
        </w:rPr>
        <w:t>：</w:t>
      </w:r>
      <w:r>
        <w:rPr>
          <w:rFonts w:hint="eastAsia" w:ascii="仿宋_GB2312" w:hAnsi="仿宋" w:eastAsia="仿宋_GB2312"/>
          <w:sz w:val="32"/>
          <w:szCs w:val="32"/>
        </w:rPr>
        <w:t>上实T2楼空气净化器购置项目</w:t>
      </w:r>
    </w:p>
    <w:p>
      <w:pPr>
        <w:spacing w:line="560" w:lineRule="exact"/>
        <w:ind w:firstLine="640" w:firstLineChars="200"/>
        <w:rPr>
          <w:rFonts w:hint="default" w:ascii="仿宋_GB2312" w:eastAsia="仿宋_GB2312"/>
          <w:sz w:val="32"/>
          <w:szCs w:val="32"/>
          <w:lang w:val="en-US" w:eastAsia="zh-CN"/>
        </w:rPr>
      </w:pP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服务内容</w:t>
      </w:r>
      <w:r>
        <w:rPr>
          <w:rFonts w:hint="eastAsia" w:ascii="仿宋_GB2312" w:hAnsi="仿宋_GB2312" w:eastAsia="仿宋_GB2312" w:cs="仿宋_GB2312"/>
          <w:sz w:val="32"/>
          <w:szCs w:val="32"/>
        </w:rPr>
        <w:t>：</w:t>
      </w:r>
      <w:r>
        <w:rPr>
          <w:rFonts w:hint="eastAsia" w:ascii="仿宋_GB2312" w:hAnsi="Calibri" w:eastAsia="仿宋_GB2312" w:cs="黑体"/>
          <w:sz w:val="32"/>
          <w:szCs w:val="32"/>
        </w:rPr>
        <w:t>报价单位需充分了解</w:t>
      </w:r>
      <w:r>
        <w:rPr>
          <w:rFonts w:hint="eastAsia" w:ascii="仿宋_GB2312" w:hAnsi="仿宋" w:eastAsia="仿宋_GB2312"/>
          <w:sz w:val="32"/>
          <w:szCs w:val="32"/>
        </w:rPr>
        <w:t>上实T2楼办公区域所需全新独立型空气净化器</w:t>
      </w:r>
      <w:r>
        <w:rPr>
          <w:rFonts w:hint="eastAsia" w:ascii="仿宋_GB2312" w:hAnsi="Calibri" w:eastAsia="仿宋_GB2312" w:cs="黑体"/>
          <w:sz w:val="32"/>
          <w:szCs w:val="32"/>
        </w:rPr>
        <w:t>的</w:t>
      </w:r>
      <w:r>
        <w:rPr>
          <w:rFonts w:hint="eastAsia" w:ascii="仿宋_GB2312" w:hAnsi="仿宋" w:eastAsia="仿宋_GB2312"/>
          <w:sz w:val="32"/>
          <w:szCs w:val="32"/>
          <w:lang w:val="en-US" w:eastAsia="zh-CN"/>
        </w:rPr>
        <w:t>购置</w:t>
      </w:r>
      <w:r>
        <w:rPr>
          <w:rFonts w:hint="eastAsia" w:ascii="仿宋_GB2312" w:hAnsi="Calibri" w:eastAsia="仿宋_GB2312" w:cs="黑体"/>
          <w:sz w:val="32"/>
          <w:szCs w:val="32"/>
        </w:rPr>
        <w:t>数量</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服务</w:t>
      </w:r>
      <w:r>
        <w:rPr>
          <w:rFonts w:hint="eastAsia" w:ascii="仿宋_GB2312" w:hAnsi="Calibri" w:eastAsia="仿宋_GB2312" w:cs="黑体"/>
          <w:sz w:val="32"/>
          <w:szCs w:val="32"/>
        </w:rPr>
        <w:t>等需求，按要求进行报价</w:t>
      </w:r>
      <w:r>
        <w:rPr>
          <w:rFonts w:hint="eastAsia" w:ascii="仿宋_GB2312" w:hAnsi="Calibri" w:eastAsia="仿宋_GB2312" w:cs="黑体"/>
          <w:sz w:val="32"/>
          <w:szCs w:val="32"/>
          <w:lang w:eastAsia="zh-CN"/>
        </w:rPr>
        <w:t>，</w:t>
      </w:r>
      <w:r>
        <w:rPr>
          <w:rFonts w:hint="eastAsia" w:ascii="仿宋_GB2312" w:hAnsi="Calibri" w:eastAsia="仿宋_GB2312" w:cs="黑体"/>
          <w:sz w:val="32"/>
          <w:szCs w:val="32"/>
          <w:lang w:val="en-US" w:eastAsia="zh-CN"/>
        </w:rPr>
        <w:t>最终数量以采购单位实际需求为准。</w:t>
      </w:r>
    </w:p>
    <w:p>
      <w:p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lang w:eastAsia="zh-Hans"/>
        </w:rPr>
        <w:t>4.</w:t>
      </w:r>
      <w:r>
        <w:rPr>
          <w:rFonts w:hint="eastAsia" w:ascii="仿宋_GB2312" w:hAnsi="仿宋_GB2312" w:eastAsia="仿宋_GB2312" w:cs="仿宋_GB2312"/>
          <w:sz w:val="32"/>
          <w:szCs w:val="32"/>
          <w:lang w:eastAsia="zh-Hans"/>
        </w:rPr>
        <w:t>服务地点</w:t>
      </w:r>
      <w:r>
        <w:rPr>
          <w:rFonts w:hint="eastAsia" w:ascii="仿宋_GB2312" w:hAnsi="仿宋_GB2312" w:eastAsia="仿宋_GB2312" w:cs="仿宋_GB2312"/>
          <w:sz w:val="32"/>
          <w:szCs w:val="32"/>
        </w:rPr>
        <w:t>：</w:t>
      </w:r>
      <w:r>
        <w:rPr>
          <w:rFonts w:hint="eastAsia" w:ascii="仿宋_GB2312" w:hAnsi="仿宋" w:eastAsia="仿宋_GB2312"/>
          <w:sz w:val="32"/>
          <w:szCs w:val="32"/>
        </w:rPr>
        <w:t>青岛市崂山区香港东路195号上实T</w:t>
      </w:r>
      <w:r>
        <w:rPr>
          <w:rFonts w:ascii="仿宋_GB2312" w:hAnsi="仿宋" w:eastAsia="仿宋_GB2312"/>
          <w:sz w:val="32"/>
          <w:szCs w:val="32"/>
        </w:rPr>
        <w:t>2</w:t>
      </w:r>
      <w:r>
        <w:rPr>
          <w:rFonts w:hint="eastAsia" w:ascii="仿宋_GB2312" w:hAnsi="仿宋" w:eastAsia="仿宋_GB2312"/>
          <w:sz w:val="32"/>
          <w:szCs w:val="32"/>
        </w:rPr>
        <w:t>楼</w:t>
      </w:r>
      <w:r>
        <w:rPr>
          <w:rFonts w:hint="eastAsia" w:ascii="仿宋_GB2312" w:eastAsia="仿宋_GB2312"/>
          <w:sz w:val="32"/>
          <w:szCs w:val="32"/>
        </w:rPr>
        <w:t>。</w:t>
      </w:r>
    </w:p>
    <w:p>
      <w:pPr>
        <w:spacing w:line="560" w:lineRule="exact"/>
        <w:ind w:firstLine="640" w:firstLineChars="200"/>
        <w:rPr>
          <w:rFonts w:ascii="仿宋_GB2312" w:hAnsi="仿宋_GB2312" w:eastAsia="仿宋_GB2312" w:cs="仿宋_GB2312"/>
          <w:sz w:val="32"/>
          <w:szCs w:val="32"/>
          <w:lang w:eastAsia="zh-Hans"/>
        </w:rPr>
      </w:pPr>
      <w:r>
        <w:rPr>
          <w:rFonts w:ascii="仿宋_GB2312" w:hAnsi="仿宋_GB2312" w:eastAsia="仿宋_GB2312" w:cs="仿宋_GB2312"/>
          <w:sz w:val="32"/>
          <w:szCs w:val="32"/>
          <w:lang w:eastAsia="zh-Hans"/>
        </w:rPr>
        <w:t>5.</w:t>
      </w:r>
      <w:r>
        <w:rPr>
          <w:rFonts w:hint="eastAsia" w:ascii="仿宋_GB2312" w:hAnsi="仿宋_GB2312" w:eastAsia="仿宋_GB2312" w:cs="仿宋_GB2312"/>
          <w:sz w:val="32"/>
          <w:szCs w:val="32"/>
          <w:lang w:eastAsia="zh-Hans"/>
        </w:rPr>
        <w:t>采购预算</w:t>
      </w:r>
      <w:r>
        <w:rPr>
          <w:rFonts w:ascii="仿宋_GB2312" w:hAnsi="仿宋_GB2312" w:eastAsia="仿宋_GB2312" w:cs="仿宋_GB2312"/>
          <w:sz w:val="32"/>
          <w:szCs w:val="32"/>
          <w:lang w:eastAsia="zh-Hans"/>
        </w:rPr>
        <w:t>：</w:t>
      </w:r>
      <w:r>
        <w:rPr>
          <w:rFonts w:hint="eastAsia" w:ascii="仿宋_GB2312" w:eastAsia="仿宋_GB2312"/>
          <w:sz w:val="32"/>
          <w:szCs w:val="32"/>
          <w:lang w:val="en-US" w:eastAsia="zh-CN"/>
        </w:rPr>
        <w:t>304200</w:t>
      </w:r>
      <w:r>
        <w:rPr>
          <w:rFonts w:hint="eastAsia" w:ascii="仿宋_GB2312" w:hAnsi="仿宋_GB2312" w:eastAsia="仿宋_GB2312" w:cs="仿宋_GB2312"/>
          <w:sz w:val="32"/>
          <w:szCs w:val="32"/>
          <w:lang w:eastAsia="zh-Hans"/>
        </w:rPr>
        <w:t>元</w:t>
      </w:r>
      <w:r>
        <w:rPr>
          <w:rFonts w:ascii="仿宋_GB2312" w:hAnsi="仿宋_GB2312" w:eastAsia="仿宋_GB2312" w:cs="仿宋_GB2312"/>
          <w:sz w:val="32"/>
          <w:szCs w:val="32"/>
          <w:lang w:eastAsia="zh-Hans"/>
        </w:rPr>
        <w:t>。</w:t>
      </w:r>
    </w:p>
    <w:p>
      <w:pPr>
        <w:spacing w:line="560" w:lineRule="exact"/>
        <w:ind w:firstLine="640" w:firstLineChars="200"/>
        <w:rPr>
          <w:rFonts w:ascii="仿宋_GB2312" w:hAnsi="宋体" w:eastAsia="仿宋_GB2312"/>
          <w:sz w:val="32"/>
          <w:szCs w:val="32"/>
        </w:rPr>
      </w:pPr>
      <w:r>
        <w:rPr>
          <w:rFonts w:ascii="仿宋_GB2312" w:hAnsi="仿宋_GB2312" w:eastAsia="仿宋_GB2312" w:cs="仿宋_GB2312"/>
          <w:sz w:val="32"/>
          <w:szCs w:val="32"/>
          <w:lang w:eastAsia="zh-Hans"/>
        </w:rPr>
        <w:t>6.</w:t>
      </w:r>
      <w:r>
        <w:rPr>
          <w:rFonts w:hint="eastAsia" w:ascii="仿宋_GB2312" w:hAnsi="仿宋_GB2312" w:eastAsia="仿宋_GB2312" w:cs="仿宋_GB2312"/>
          <w:sz w:val="32"/>
          <w:szCs w:val="32"/>
          <w:lang w:eastAsia="zh-Hans"/>
        </w:rPr>
        <w:t>服务</w:t>
      </w:r>
      <w:r>
        <w:rPr>
          <w:rFonts w:hint="eastAsia" w:ascii="仿宋_GB2312" w:hAnsi="仿宋_GB2312" w:eastAsia="仿宋_GB2312" w:cs="仿宋_GB2312"/>
          <w:sz w:val="32"/>
          <w:szCs w:val="32"/>
        </w:rPr>
        <w:t>时间</w:t>
      </w:r>
      <w:r>
        <w:rPr>
          <w:rFonts w:ascii="仿宋_GB2312" w:hAnsi="仿宋_GB2312" w:eastAsia="仿宋_GB2312" w:cs="仿宋_GB2312"/>
          <w:sz w:val="32"/>
          <w:szCs w:val="32"/>
          <w:lang w:eastAsia="zh-Hans"/>
        </w:rPr>
        <w:t>：</w:t>
      </w:r>
      <w:r>
        <w:rPr>
          <w:rFonts w:hint="eastAsia" w:ascii="仿宋_GB2312" w:hAnsi="仿宋" w:eastAsia="仿宋_GB2312"/>
          <w:sz w:val="32"/>
          <w:szCs w:val="32"/>
        </w:rPr>
        <w:t>自合同签订</w:t>
      </w:r>
      <w:r>
        <w:rPr>
          <w:rFonts w:hint="eastAsia" w:ascii="仿宋_GB2312" w:hAnsi="仿宋" w:eastAsia="仿宋_GB2312"/>
          <w:sz w:val="32"/>
          <w:szCs w:val="32"/>
          <w:lang w:val="en-US" w:eastAsia="zh-CN"/>
        </w:rPr>
        <w:t>后按照采购单位要求</w:t>
      </w:r>
      <w:r>
        <w:rPr>
          <w:rFonts w:hint="eastAsia" w:ascii="仿宋_GB2312" w:hAnsi="仿宋" w:eastAsia="仿宋_GB2312"/>
          <w:sz w:val="32"/>
          <w:szCs w:val="32"/>
        </w:rPr>
        <w:t>完成供货。</w:t>
      </w:r>
    </w:p>
    <w:p>
      <w:pPr>
        <w:spacing w:line="560" w:lineRule="exact"/>
        <w:ind w:firstLine="640" w:firstLineChars="200"/>
        <w:jc w:val="left"/>
        <w:rPr>
          <w:rFonts w:ascii="黑体" w:hAnsi="文星黑体" w:eastAsia="黑体"/>
          <w:sz w:val="32"/>
          <w:szCs w:val="32"/>
        </w:rPr>
      </w:pPr>
      <w:r>
        <w:rPr>
          <w:rFonts w:hint="eastAsia" w:ascii="黑体" w:hAnsi="文星黑体" w:eastAsia="黑体"/>
          <w:sz w:val="32"/>
          <w:szCs w:val="32"/>
        </w:rPr>
        <w:t>二、报价单位资格要求</w:t>
      </w:r>
    </w:p>
    <w:p>
      <w:pPr>
        <w:spacing w:line="560" w:lineRule="exact"/>
        <w:ind w:firstLine="755" w:firstLineChars="236"/>
        <w:rPr>
          <w:rFonts w:ascii="仿宋_GB2312" w:hAnsi="宋体" w:eastAsia="仿宋_GB2312" w:cs="Times New Roman"/>
          <w:sz w:val="32"/>
          <w:szCs w:val="32"/>
        </w:rPr>
      </w:pPr>
      <w:r>
        <w:rPr>
          <w:rFonts w:hint="eastAsia" w:ascii="仿宋_GB2312" w:hAnsi="宋体" w:eastAsia="仿宋_GB2312" w:cs="Times New Roman"/>
          <w:sz w:val="32"/>
          <w:szCs w:val="32"/>
        </w:rPr>
        <w:t>1.具有独立承担民事责任能力的法人，具有完成本项目（标包）</w:t>
      </w:r>
      <w:r>
        <w:rPr>
          <w:rFonts w:hint="eastAsia" w:ascii="仿宋_GB2312" w:hAnsi="仿宋" w:eastAsia="仿宋_GB2312"/>
          <w:sz w:val="32"/>
          <w:szCs w:val="32"/>
        </w:rPr>
        <w:t>空气净化器</w:t>
      </w:r>
      <w:r>
        <w:rPr>
          <w:rFonts w:hint="eastAsia" w:ascii="仿宋_GB2312" w:hAnsi="宋体" w:eastAsia="仿宋_GB2312" w:cs="Times New Roman"/>
          <w:sz w:val="32"/>
          <w:szCs w:val="32"/>
        </w:rPr>
        <w:t>供货及配套服务能力的制造商或代理商；</w:t>
      </w:r>
    </w:p>
    <w:p>
      <w:pPr>
        <w:spacing w:line="560" w:lineRule="exact"/>
        <w:ind w:firstLine="755" w:firstLineChars="236"/>
        <w:rPr>
          <w:rFonts w:ascii="仿宋_GB2312" w:hAnsi="宋体" w:eastAsia="仿宋_GB2312" w:cs="Times New Roman"/>
          <w:sz w:val="32"/>
          <w:szCs w:val="32"/>
        </w:rPr>
      </w:pPr>
      <w:r>
        <w:rPr>
          <w:rFonts w:hint="eastAsia" w:ascii="仿宋_GB2312" w:hAnsi="宋体" w:eastAsia="仿宋_GB2312" w:cs="Times New Roman"/>
          <w:sz w:val="32"/>
          <w:szCs w:val="32"/>
        </w:rPr>
        <w:t>2.自本招标公告发布之日前三年内无行贿犯罪等重大违法记录；</w:t>
      </w:r>
    </w:p>
    <w:p>
      <w:pPr>
        <w:spacing w:line="560" w:lineRule="exact"/>
        <w:ind w:firstLine="755" w:firstLineChars="236"/>
        <w:rPr>
          <w:rFonts w:ascii="仿宋_GB2312" w:hAnsi="宋体" w:eastAsia="仿宋_GB2312" w:cs="Times New Roman"/>
          <w:sz w:val="32"/>
          <w:szCs w:val="32"/>
        </w:rPr>
      </w:pPr>
      <w:r>
        <w:rPr>
          <w:rFonts w:hint="eastAsia" w:ascii="仿宋_GB2312" w:hAnsi="宋体" w:eastAsia="仿宋_GB2312" w:cs="Times New Roman"/>
          <w:sz w:val="32"/>
          <w:szCs w:val="32"/>
        </w:rPr>
        <w:t>3.通过“信用中国”网站（www.creditchina.gov.cn）查询，未被列入失信被执行人、重大税收违法案件当事人名单的；</w:t>
      </w:r>
    </w:p>
    <w:p>
      <w:pPr>
        <w:snapToGrid w:val="0"/>
        <w:spacing w:line="560" w:lineRule="exact"/>
        <w:ind w:firstLine="755" w:firstLineChars="236"/>
        <w:rPr>
          <w:rFonts w:ascii="仿宋_GB2312" w:hAnsi="宋体" w:eastAsia="仿宋_GB2312" w:cs="Times New Roman"/>
          <w:sz w:val="32"/>
          <w:szCs w:val="32"/>
        </w:rPr>
      </w:pPr>
      <w:r>
        <w:rPr>
          <w:rFonts w:hint="eastAsia" w:ascii="仿宋_GB2312" w:hAnsi="宋体" w:eastAsia="仿宋_GB2312" w:cs="Times New Roman"/>
          <w:sz w:val="32"/>
          <w:szCs w:val="32"/>
        </w:rPr>
        <w:t>4.投标人上两年度须至少具备一项</w:t>
      </w:r>
      <w:r>
        <w:rPr>
          <w:rFonts w:hint="eastAsia" w:ascii="仿宋_GB2312" w:hAnsi="宋体" w:eastAsia="仿宋_GB2312" w:cs="Times New Roman"/>
          <w:sz w:val="32"/>
          <w:szCs w:val="32"/>
          <w:lang w:val="en-US" w:eastAsia="zh-CN"/>
        </w:rPr>
        <w:t>31万元以上</w:t>
      </w:r>
      <w:r>
        <w:rPr>
          <w:rFonts w:hint="eastAsia" w:ascii="仿宋_GB2312" w:hAnsi="宋体" w:eastAsia="仿宋_GB2312" w:cs="Times New Roman"/>
          <w:sz w:val="32"/>
          <w:szCs w:val="32"/>
        </w:rPr>
        <w:t>同类项目业绩；</w:t>
      </w:r>
    </w:p>
    <w:p>
      <w:pPr>
        <w:snapToGrid w:val="0"/>
        <w:spacing w:line="560" w:lineRule="exact"/>
        <w:ind w:firstLine="755" w:firstLineChars="236"/>
        <w:rPr>
          <w:rFonts w:hint="eastAsia" w:ascii="仿宋_GB2312" w:hAnsi="仿宋" w:eastAsia="仿宋_GB2312"/>
          <w:sz w:val="32"/>
          <w:szCs w:val="32"/>
          <w:lang w:eastAsia="zh-CN"/>
        </w:rPr>
      </w:pPr>
      <w:r>
        <w:rPr>
          <w:rFonts w:hint="eastAsia" w:ascii="仿宋_GB2312" w:hAnsi="宋体" w:eastAsia="仿宋_GB2312" w:cs="Times New Roman"/>
          <w:sz w:val="32"/>
          <w:szCs w:val="32"/>
        </w:rPr>
        <w:t>5.产品</w:t>
      </w:r>
      <w:r>
        <w:rPr>
          <w:rFonts w:hint="eastAsia" w:ascii="仿宋_GB2312" w:hAnsi="仿宋" w:eastAsia="仿宋_GB2312"/>
          <w:sz w:val="32"/>
          <w:szCs w:val="32"/>
        </w:rPr>
        <w:t>制造商必须是知名品牌，</w:t>
      </w:r>
      <w:r>
        <w:rPr>
          <w:rFonts w:hint="eastAsia" w:ascii="仿宋_GB2312" w:hAnsi="仿宋" w:eastAsia="仿宋_GB2312"/>
          <w:sz w:val="32"/>
          <w:szCs w:val="32"/>
          <w:lang w:eastAsia="zh-CN"/>
        </w:rPr>
        <w:t>投标单位</w:t>
      </w:r>
      <w:r>
        <w:rPr>
          <w:rFonts w:hint="eastAsia" w:ascii="仿宋_GB2312" w:hAnsi="仿宋" w:eastAsia="仿宋_GB2312"/>
          <w:sz w:val="32"/>
          <w:szCs w:val="32"/>
        </w:rPr>
        <w:t>注册资本不低于</w:t>
      </w:r>
      <w:r>
        <w:rPr>
          <w:rFonts w:hint="eastAsia" w:ascii="仿宋_GB2312" w:hAnsi="仿宋" w:eastAsia="仿宋_GB2312"/>
          <w:sz w:val="32"/>
          <w:szCs w:val="32"/>
          <w:lang w:val="en-US" w:eastAsia="zh-CN"/>
        </w:rPr>
        <w:t>3</w:t>
      </w:r>
      <w:r>
        <w:rPr>
          <w:rFonts w:hint="eastAsia" w:ascii="仿宋_GB2312" w:hAnsi="仿宋" w:eastAsia="仿宋_GB2312"/>
          <w:sz w:val="32"/>
          <w:szCs w:val="32"/>
        </w:rPr>
        <w:t>00万</w:t>
      </w:r>
      <w:r>
        <w:rPr>
          <w:rFonts w:hint="eastAsia" w:ascii="仿宋_GB2312" w:hAnsi="仿宋" w:eastAsia="仿宋_GB2312"/>
          <w:sz w:val="32"/>
          <w:szCs w:val="32"/>
          <w:lang w:val="en-US" w:eastAsia="zh-CN"/>
        </w:rPr>
        <w:t>元</w:t>
      </w:r>
      <w:r>
        <w:rPr>
          <w:rFonts w:hint="eastAsia" w:ascii="仿宋_GB2312" w:hAnsi="仿宋" w:eastAsia="仿宋_GB2312"/>
          <w:sz w:val="32"/>
          <w:szCs w:val="32"/>
          <w:lang w:eastAsia="zh-CN"/>
        </w:rPr>
        <w:t>，制造商注册资</w:t>
      </w:r>
      <w:r>
        <w:rPr>
          <w:rFonts w:hint="eastAsia" w:ascii="仿宋_GB2312" w:hAnsi="仿宋" w:eastAsia="仿宋_GB2312"/>
          <w:sz w:val="32"/>
          <w:szCs w:val="32"/>
          <w:lang w:val="en-US" w:eastAsia="zh-CN"/>
        </w:rPr>
        <w:t>本</w:t>
      </w:r>
      <w:r>
        <w:rPr>
          <w:rFonts w:hint="eastAsia" w:ascii="仿宋_GB2312" w:hAnsi="仿宋" w:eastAsia="仿宋_GB2312"/>
          <w:sz w:val="32"/>
          <w:szCs w:val="32"/>
          <w:lang w:eastAsia="zh-CN"/>
        </w:rPr>
        <w:t>2000万</w:t>
      </w:r>
      <w:r>
        <w:rPr>
          <w:rFonts w:hint="eastAsia" w:ascii="仿宋_GB2312" w:hAnsi="仿宋" w:eastAsia="仿宋_GB2312"/>
          <w:sz w:val="32"/>
          <w:szCs w:val="32"/>
          <w:lang w:val="en-US" w:eastAsia="zh-CN"/>
        </w:rPr>
        <w:t>元</w:t>
      </w:r>
      <w:r>
        <w:rPr>
          <w:rFonts w:hint="eastAsia" w:ascii="仿宋_GB2312" w:hAnsi="仿宋" w:eastAsia="仿宋_GB2312"/>
          <w:sz w:val="32"/>
          <w:szCs w:val="32"/>
          <w:lang w:eastAsia="zh-CN"/>
        </w:rPr>
        <w:t>以上。</w:t>
      </w:r>
    </w:p>
    <w:p>
      <w:pPr>
        <w:snapToGrid w:val="0"/>
        <w:spacing w:line="560" w:lineRule="exact"/>
        <w:ind w:firstLine="755" w:firstLineChars="236"/>
        <w:rPr>
          <w:rFonts w:ascii="仿宋_GB2312" w:hAnsi="宋体" w:eastAsia="仿宋_GB2312" w:cs="Times New Roman"/>
          <w:sz w:val="32"/>
          <w:szCs w:val="32"/>
        </w:rPr>
      </w:pPr>
      <w:r>
        <w:rPr>
          <w:rFonts w:hint="eastAsia" w:ascii="仿宋_GB2312" w:hAnsi="宋体" w:eastAsia="仿宋_GB2312" w:cs="Times New Roman"/>
          <w:sz w:val="32"/>
          <w:szCs w:val="32"/>
        </w:rPr>
        <w:t>6.本项目不接受联合体</w:t>
      </w:r>
      <w:r>
        <w:rPr>
          <w:rFonts w:hint="eastAsia" w:ascii="仿宋_GB2312" w:hAnsi="宋体" w:eastAsia="仿宋_GB2312" w:cs="Times New Roman"/>
          <w:sz w:val="32"/>
          <w:szCs w:val="32"/>
          <w:lang w:val="en-US" w:eastAsia="zh-CN"/>
        </w:rPr>
        <w:t>报价</w:t>
      </w:r>
      <w:r>
        <w:rPr>
          <w:rFonts w:hint="eastAsia" w:ascii="仿宋_GB2312" w:hAnsi="宋体" w:eastAsia="仿宋_GB2312" w:cs="Times New Roman"/>
          <w:sz w:val="32"/>
          <w:szCs w:val="32"/>
        </w:rPr>
        <w:t>。</w:t>
      </w:r>
    </w:p>
    <w:p>
      <w:pPr>
        <w:spacing w:line="560" w:lineRule="exact"/>
        <w:ind w:firstLine="640" w:firstLineChars="200"/>
        <w:jc w:val="left"/>
        <w:rPr>
          <w:rFonts w:ascii="黑体" w:hAnsi="文星黑体" w:eastAsia="黑体"/>
          <w:bCs/>
          <w:sz w:val="32"/>
          <w:szCs w:val="32"/>
        </w:rPr>
      </w:pPr>
      <w:r>
        <w:rPr>
          <w:rFonts w:hint="eastAsia" w:ascii="黑体" w:hAnsi="文星黑体" w:eastAsia="黑体"/>
          <w:bCs/>
          <w:sz w:val="32"/>
          <w:szCs w:val="32"/>
        </w:rPr>
        <w:t>三、采购要求</w:t>
      </w:r>
    </w:p>
    <w:p>
      <w:pPr>
        <w:spacing w:line="560" w:lineRule="exact"/>
        <w:ind w:firstLine="640" w:firstLineChars="200"/>
        <w:rPr>
          <w:rFonts w:ascii="仿宋_GB2312" w:hAnsi="黑体" w:eastAsia="仿宋_GB2312" w:cs="黑体"/>
          <w:sz w:val="32"/>
          <w:szCs w:val="32"/>
        </w:rPr>
      </w:pPr>
      <w:r>
        <w:rPr>
          <w:rFonts w:ascii="仿宋_GB2312" w:hAnsi="黑体" w:eastAsia="仿宋_GB2312" w:cs="黑体"/>
          <w:sz w:val="32"/>
          <w:szCs w:val="32"/>
        </w:rPr>
        <w:t>1.</w:t>
      </w:r>
      <w:r>
        <w:rPr>
          <w:rFonts w:hint="eastAsia" w:ascii="仿宋_GB2312" w:hAnsi="黑体" w:eastAsia="仿宋_GB2312" w:cs="黑体"/>
          <w:sz w:val="32"/>
          <w:szCs w:val="32"/>
        </w:rPr>
        <w:t>质量要求：</w:t>
      </w:r>
    </w:p>
    <w:p>
      <w:pPr>
        <w:spacing w:line="560" w:lineRule="exact"/>
        <w:ind w:firstLine="620" w:firstLineChars="200"/>
        <w:rPr>
          <w:rFonts w:ascii="仿宋_GB2312" w:hAnsi="宋体" w:eastAsia="仿宋_GB2312" w:cs="仿宋_GB2312"/>
          <w:color w:val="000000"/>
          <w:sz w:val="31"/>
          <w:szCs w:val="31"/>
          <w:shd w:val="clear" w:color="auto" w:fill="FFFFFF"/>
        </w:rPr>
      </w:pPr>
      <w:r>
        <w:rPr>
          <w:rFonts w:hint="eastAsia" w:ascii="仿宋_GB2312" w:hAnsi="宋体" w:eastAsia="仿宋_GB2312" w:cs="仿宋_GB2312"/>
          <w:color w:val="000000"/>
          <w:sz w:val="31"/>
          <w:szCs w:val="31"/>
          <w:shd w:val="clear" w:color="auto" w:fill="FFFFFF"/>
          <w:lang w:val="en-US" w:eastAsia="zh-CN"/>
        </w:rPr>
        <w:t>全新</w:t>
      </w:r>
      <w:r>
        <w:rPr>
          <w:rFonts w:ascii="仿宋_GB2312" w:hAnsi="宋体" w:eastAsia="仿宋_GB2312" w:cs="仿宋_GB2312"/>
          <w:color w:val="000000"/>
          <w:sz w:val="31"/>
          <w:szCs w:val="31"/>
          <w:shd w:val="clear" w:color="auto" w:fill="FFFFFF"/>
        </w:rPr>
        <w:t>产品通过国家相关部门的检测和认证；</w:t>
      </w:r>
      <w:r>
        <w:rPr>
          <w:rFonts w:hint="eastAsia" w:ascii="仿宋_GB2312" w:hAnsi="宋体" w:eastAsia="仿宋_GB2312" w:cs="仿宋_GB2312"/>
          <w:color w:val="000000"/>
          <w:sz w:val="31"/>
          <w:szCs w:val="31"/>
          <w:shd w:val="clear" w:color="auto" w:fill="FFFFFF"/>
        </w:rPr>
        <w:t>确保设备运行安全稳定；空气净化器</w:t>
      </w:r>
      <w:r>
        <w:rPr>
          <w:rFonts w:ascii="仿宋_GB2312" w:hAnsi="宋体" w:eastAsia="仿宋_GB2312" w:cs="仿宋_GB2312"/>
          <w:color w:val="000000"/>
          <w:sz w:val="31"/>
          <w:szCs w:val="31"/>
          <w:shd w:val="clear" w:color="auto" w:fill="FFFFFF"/>
        </w:rPr>
        <w:t>需具备除</w:t>
      </w:r>
      <w:r>
        <w:rPr>
          <w:rFonts w:hint="eastAsia" w:ascii="仿宋_GB2312" w:hAnsi="宋体" w:eastAsia="仿宋_GB2312" w:cs="仿宋_GB2312"/>
          <w:color w:val="000000"/>
          <w:sz w:val="31"/>
          <w:szCs w:val="31"/>
          <w:shd w:val="clear" w:color="auto" w:fill="FFFFFF"/>
        </w:rPr>
        <w:t>PM2.5、二手烟、粉尘、甲醛等有害物质的功能。</w:t>
      </w:r>
    </w:p>
    <w:p>
      <w:pPr>
        <w:spacing w:line="560" w:lineRule="exact"/>
        <w:ind w:firstLine="620" w:firstLineChars="200"/>
        <w:rPr>
          <w:rFonts w:ascii="仿宋_GB2312" w:hAnsi="宋体" w:eastAsia="仿宋_GB2312" w:cs="仿宋_GB2312"/>
          <w:color w:val="000000"/>
          <w:sz w:val="31"/>
          <w:szCs w:val="31"/>
          <w:shd w:val="clear" w:color="auto" w:fill="FFFFFF"/>
        </w:rPr>
      </w:pPr>
      <w:r>
        <w:rPr>
          <w:rFonts w:hint="eastAsia" w:ascii="仿宋_GB2312" w:hAnsi="宋体" w:eastAsia="仿宋_GB2312" w:cs="仿宋_GB2312"/>
          <w:color w:val="000000"/>
          <w:sz w:val="31"/>
          <w:szCs w:val="31"/>
          <w:shd w:val="clear" w:color="auto" w:fill="FFFFFF"/>
        </w:rPr>
        <w:t>2.供货周期：</w:t>
      </w:r>
    </w:p>
    <w:p>
      <w:pPr>
        <w:spacing w:line="560" w:lineRule="exact"/>
        <w:ind w:firstLine="620" w:firstLineChars="200"/>
        <w:rPr>
          <w:rFonts w:ascii="仿宋_GB2312" w:hAnsi="宋体" w:eastAsia="仿宋_GB2312" w:cs="仿宋_GB2312"/>
          <w:color w:val="000000"/>
          <w:sz w:val="31"/>
          <w:szCs w:val="31"/>
          <w:shd w:val="clear" w:color="auto" w:fill="FFFFFF"/>
        </w:rPr>
      </w:pPr>
      <w:r>
        <w:rPr>
          <w:rFonts w:hint="eastAsia" w:ascii="仿宋_GB2312" w:hAnsi="宋体" w:eastAsia="仿宋_GB2312" w:cs="仿宋_GB2312"/>
          <w:color w:val="000000"/>
          <w:sz w:val="31"/>
          <w:szCs w:val="31"/>
          <w:shd w:val="clear" w:color="auto" w:fill="FFFFFF"/>
        </w:rPr>
        <w:t>投放、调试时间</w:t>
      </w:r>
      <w:r>
        <w:rPr>
          <w:rFonts w:hint="eastAsia" w:ascii="仿宋_GB2312" w:hAnsi="宋体" w:eastAsia="仿宋_GB2312" w:cs="仿宋_GB2312"/>
          <w:color w:val="000000"/>
          <w:sz w:val="31"/>
          <w:szCs w:val="31"/>
          <w:shd w:val="clear" w:color="auto" w:fill="FFFFFF"/>
          <w:lang w:val="en-US" w:eastAsia="zh-CN"/>
        </w:rPr>
        <w:t>满足</w:t>
      </w:r>
      <w:r>
        <w:rPr>
          <w:rFonts w:hint="eastAsia" w:ascii="仿宋_GB2312" w:hAnsi="仿宋" w:eastAsia="仿宋_GB2312"/>
          <w:sz w:val="32"/>
          <w:szCs w:val="32"/>
          <w:lang w:val="en-US" w:eastAsia="zh-CN"/>
        </w:rPr>
        <w:t>采购单位要求</w:t>
      </w:r>
      <w:r>
        <w:rPr>
          <w:rFonts w:hint="eastAsia" w:ascii="仿宋_GB2312" w:hAnsi="宋体" w:eastAsia="仿宋_GB2312" w:cs="仿宋_GB2312"/>
          <w:color w:val="000000"/>
          <w:sz w:val="31"/>
          <w:szCs w:val="31"/>
          <w:shd w:val="clear" w:color="auto" w:fill="FFFFFF"/>
        </w:rPr>
        <w:t>；投标人须配备1名现场负责人，不少于3名服务人员，需提供相关人员的社保、人身意外险等缴费记录，根据实际需要，配备充足服务人员，顺利推进项目。空气净化器</w:t>
      </w:r>
      <w:r>
        <w:rPr>
          <w:rFonts w:hint="eastAsia" w:ascii="仿宋_GB2312" w:hAnsi="宋体" w:eastAsia="仿宋_GB2312" w:cs="仿宋_GB2312"/>
          <w:color w:val="000000"/>
          <w:sz w:val="31"/>
          <w:szCs w:val="31"/>
          <w:shd w:val="clear" w:color="auto" w:fill="FFFFFF"/>
          <w:lang w:val="en-US" w:eastAsia="zh-CN"/>
        </w:rPr>
        <w:t>验收合格开始两年保修期内</w:t>
      </w:r>
      <w:r>
        <w:rPr>
          <w:rFonts w:hint="eastAsia" w:ascii="仿宋_GB2312" w:hAnsi="宋体" w:eastAsia="仿宋_GB2312" w:cs="仿宋_GB2312"/>
          <w:color w:val="000000"/>
          <w:sz w:val="31"/>
          <w:szCs w:val="31"/>
          <w:shd w:val="clear" w:color="auto" w:fill="FFFFFF"/>
        </w:rPr>
        <w:t>，</w:t>
      </w:r>
      <w:r>
        <w:rPr>
          <w:rFonts w:hint="eastAsia" w:ascii="仿宋_GB2312" w:hAnsi="宋体" w:eastAsia="仿宋_GB2312" w:cs="仿宋_GB2312"/>
          <w:color w:val="000000"/>
          <w:sz w:val="31"/>
          <w:szCs w:val="31"/>
          <w:shd w:val="clear" w:color="auto" w:fill="FFFFFF"/>
          <w:lang w:val="en-US" w:eastAsia="zh-CN"/>
        </w:rPr>
        <w:t>免费维修</w:t>
      </w:r>
      <w:r>
        <w:rPr>
          <w:rFonts w:hint="eastAsia" w:ascii="仿宋_GB2312" w:hAnsi="宋体" w:eastAsia="仿宋_GB2312" w:cs="仿宋_GB2312"/>
          <w:color w:val="000000"/>
          <w:sz w:val="31"/>
          <w:szCs w:val="31"/>
          <w:shd w:val="clear" w:color="auto" w:fill="FFFFFF"/>
        </w:rPr>
        <w:t>。</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3.空气净化设备须具备以下参数要求：</w:t>
      </w:r>
    </w:p>
    <w:p>
      <w:pPr>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w:t>
      </w:r>
      <w:r>
        <w:rPr>
          <w:rFonts w:ascii="仿宋_GB2312" w:hAnsi="仿宋" w:eastAsia="仿宋_GB2312" w:cs="Times New Roman"/>
          <w:color w:val="000000"/>
          <w:sz w:val="32"/>
          <w:szCs w:val="32"/>
        </w:rPr>
        <w:t>洁净空气量</w:t>
      </w:r>
      <w:r>
        <w:rPr>
          <w:rFonts w:hint="eastAsia" w:ascii="仿宋_GB2312" w:hAnsi="仿宋" w:eastAsia="仿宋_GB2312" w:cs="Times New Roman"/>
          <w:color w:val="000000"/>
          <w:sz w:val="32"/>
          <w:szCs w:val="32"/>
        </w:rPr>
        <w:t xml:space="preserve">： </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CADR(m³/h)颗粒物： 600 m³/h </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PM2.5:  454 m³/h</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甲 醛： 280 m³/h</w:t>
      </w:r>
    </w:p>
    <w:p>
      <w:pPr>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除菌率：99.9%</w:t>
      </w:r>
    </w:p>
    <w:p>
      <w:pPr>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w:t>
      </w:r>
      <w:r>
        <w:rPr>
          <w:rFonts w:ascii="仿宋_GB2312" w:hAnsi="仿宋" w:eastAsia="仿宋_GB2312" w:cs="Times New Roman"/>
          <w:color w:val="000000"/>
          <w:sz w:val="32"/>
          <w:szCs w:val="32"/>
        </w:rPr>
        <w:t>其他指标</w:t>
      </w:r>
      <w:r>
        <w:rPr>
          <w:rFonts w:hint="eastAsia" w:ascii="仿宋_GB2312" w:hAnsi="仿宋" w:eastAsia="仿宋_GB2312" w:cs="Times New Roman"/>
          <w:color w:val="000000"/>
          <w:sz w:val="32"/>
          <w:szCs w:val="32"/>
        </w:rPr>
        <w:t>：</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适用面积：42-72㎡</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噪声：27-57（DBA)</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额定风量：735立方米/小时</w:t>
      </w:r>
    </w:p>
    <w:p>
      <w:pPr>
        <w:ind w:firstLine="1280" w:firstLineChars="4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换气次数：6次/h</w:t>
      </w:r>
    </w:p>
    <w:p>
      <w:pPr>
        <w:ind w:firstLine="1280" w:firstLineChars="4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功率：15-75W</w:t>
      </w:r>
    </w:p>
    <w:p>
      <w:pPr>
        <w:spacing w:line="560" w:lineRule="exact"/>
        <w:ind w:left="-120" w:leftChars="-57"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采购单位</w:t>
      </w:r>
      <w:r>
        <w:rPr>
          <w:rFonts w:hint="eastAsia" w:ascii="仿宋_GB2312" w:hAnsi="宋体" w:eastAsia="仿宋_GB2312" w:cs="Times New Roman"/>
          <w:sz w:val="32"/>
          <w:szCs w:val="32"/>
        </w:rPr>
        <w:t>于</w:t>
      </w:r>
      <w:r>
        <w:rPr>
          <w:rFonts w:hint="eastAsia" w:ascii="仿宋_GB2312" w:hAnsi="宋体" w:eastAsia="仿宋_GB2312" w:cs="Times New Roman"/>
          <w:sz w:val="32"/>
          <w:szCs w:val="32"/>
          <w:lang w:val="en-US" w:eastAsia="zh-CN"/>
        </w:rPr>
        <w:t xml:space="preserve"> 2024 </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18</w:t>
      </w:r>
      <w:r>
        <w:rPr>
          <w:rFonts w:hint="eastAsia" w:ascii="仿宋_GB2312" w:hAnsi="宋体" w:eastAsia="仿宋_GB2312" w:cs="Times New Roman"/>
          <w:sz w:val="32"/>
          <w:szCs w:val="32"/>
        </w:rPr>
        <w:t>日上午</w:t>
      </w:r>
      <w:r>
        <w:rPr>
          <w:rFonts w:hint="eastAsia" w:ascii="仿宋_GB2312" w:hAnsi="宋体" w:eastAsia="仿宋_GB2312" w:cs="Times New Roman"/>
          <w:sz w:val="32"/>
          <w:szCs w:val="32"/>
          <w:lang w:val="en-US" w:eastAsia="zh-CN"/>
        </w:rPr>
        <w:t>10</w:t>
      </w:r>
      <w:r>
        <w:rPr>
          <w:rFonts w:hint="eastAsia" w:ascii="仿宋_GB2312" w:hAnsi="宋体" w:eastAsia="仿宋_GB2312" w:cs="Times New Roman"/>
          <w:sz w:val="32"/>
          <w:szCs w:val="32"/>
        </w:rPr>
        <w:t>:30点统一组织现场踏勘</w:t>
      </w:r>
      <w:r>
        <w:rPr>
          <w:rFonts w:hint="eastAsia" w:ascii="仿宋_GB2312" w:hAnsi="仿宋_GB2312" w:eastAsia="仿宋_GB2312" w:cs="仿宋_GB2312"/>
          <w:sz w:val="32"/>
          <w:szCs w:val="32"/>
        </w:rPr>
        <w:t>。</w:t>
      </w:r>
      <w:r>
        <w:rPr>
          <w:rFonts w:hint="eastAsia" w:ascii="仿宋_GB2312" w:hAnsi="宋体" w:eastAsia="仿宋_GB2312" w:cs="Times New Roman"/>
          <w:sz w:val="32"/>
          <w:szCs w:val="32"/>
        </w:rPr>
        <w:t>报价单位应在规定时间进行现场踏勘</w:t>
      </w:r>
      <w:r>
        <w:rPr>
          <w:rFonts w:hint="eastAsia" w:ascii="仿宋_GB2312" w:hAnsi="宋体" w:eastAsia="仿宋_GB2312"/>
          <w:sz w:val="32"/>
          <w:szCs w:val="32"/>
        </w:rPr>
        <w:t>。报价单位</w:t>
      </w:r>
      <w:r>
        <w:rPr>
          <w:rFonts w:hint="eastAsia" w:ascii="仿宋_GB2312" w:eastAsia="仿宋_GB2312" w:cs="黑体"/>
          <w:sz w:val="32"/>
          <w:szCs w:val="32"/>
        </w:rPr>
        <w:t>充分了解项目内容后再进行报价</w:t>
      </w:r>
      <w:r>
        <w:rPr>
          <w:rFonts w:hint="eastAsia" w:ascii="仿宋_GB2312" w:hAnsi="仿宋_GB2312" w:eastAsia="仿宋_GB2312" w:cs="仿宋_GB2312"/>
          <w:sz w:val="32"/>
          <w:szCs w:val="32"/>
        </w:rPr>
        <w:t>。</w:t>
      </w:r>
    </w:p>
    <w:p>
      <w:pPr>
        <w:pStyle w:val="2"/>
      </w:pPr>
      <w:r>
        <w:rPr>
          <w:rFonts w:hint="eastAsia" w:ascii="仿宋_GB2312" w:hAnsi="仿宋_GB2312" w:eastAsia="仿宋_GB2312" w:cs="仿宋_GB2312"/>
          <w:sz w:val="32"/>
          <w:szCs w:val="32"/>
        </w:rPr>
        <w:t>现场</w:t>
      </w:r>
      <w:r>
        <w:rPr>
          <w:rFonts w:hint="eastAsia" w:ascii="仿宋_GB2312" w:hAnsi="宋体" w:eastAsia="仿宋_GB2312" w:cs="Times New Roman"/>
          <w:sz w:val="32"/>
          <w:szCs w:val="32"/>
        </w:rPr>
        <w:t>踏勘</w:t>
      </w:r>
      <w:r>
        <w:rPr>
          <w:rFonts w:hint="eastAsia" w:ascii="仿宋_GB2312" w:hAnsi="仿宋_GB2312" w:eastAsia="仿宋_GB2312" w:cs="仿宋_GB2312"/>
          <w:sz w:val="32"/>
          <w:szCs w:val="32"/>
        </w:rPr>
        <w:t>联系人：</w:t>
      </w:r>
      <w:r>
        <w:rPr>
          <w:rFonts w:hint="eastAsia" w:ascii="仿宋_GB2312" w:eastAsia="仿宋_GB2312"/>
          <w:sz w:val="32"/>
          <w:szCs w:val="32"/>
          <w:lang w:val="en-US" w:eastAsia="zh-CN"/>
        </w:rPr>
        <w:t>郭金龙</w:t>
      </w:r>
      <w:r>
        <w:rPr>
          <w:rFonts w:hint="eastAsia" w:ascii="仿宋_GB2312" w:eastAsia="仿宋_GB2312"/>
          <w:sz w:val="32"/>
          <w:szCs w:val="32"/>
        </w:rPr>
        <w:t xml:space="preserve">  联系电话:</w:t>
      </w:r>
      <w:r>
        <w:rPr>
          <w:rFonts w:hint="eastAsia" w:ascii="仿宋_GB2312" w:eastAsia="仿宋_GB2312"/>
          <w:sz w:val="32"/>
          <w:szCs w:val="32"/>
          <w:lang w:val="en-US" w:eastAsia="zh-CN"/>
        </w:rPr>
        <w:t>18669796330</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四、报价要求</w:t>
      </w:r>
    </w:p>
    <w:p>
      <w:pPr>
        <w:pStyle w:val="2"/>
        <w:tabs>
          <w:tab w:val="left" w:pos="709"/>
        </w:tabs>
        <w:rPr>
          <w:rFonts w:ascii="仿宋_GB2312" w:hAnsi="仿宋" w:eastAsia="仿宋_GB2312"/>
          <w:sz w:val="32"/>
          <w:szCs w:val="32"/>
        </w:rPr>
      </w:pPr>
      <w:r>
        <w:rPr>
          <w:rFonts w:hint="eastAsia" w:ascii="仿宋_GB2312" w:hAnsi="仿宋" w:eastAsia="仿宋_GB2312"/>
          <w:sz w:val="32"/>
          <w:szCs w:val="32"/>
        </w:rPr>
        <w:t>1.报价应为含税全包价，包括但不限于人员薪资、社保、奖金、福利、工装、税费、管理费、保险等</w:t>
      </w:r>
      <w:r>
        <w:rPr>
          <w:rFonts w:hint="eastAsia" w:ascii="仿宋_GB2312" w:hAnsi="黑体" w:eastAsia="仿宋_GB2312" w:cs="黑体"/>
          <w:sz w:val="32"/>
          <w:szCs w:val="32"/>
        </w:rPr>
        <w:t>提供相关服务的所有费用。</w:t>
      </w:r>
    </w:p>
    <w:p>
      <w:pPr>
        <w:pStyle w:val="2"/>
        <w:ind w:firstLine="640"/>
        <w:rPr>
          <w:rFonts w:ascii="仿宋_GB2312" w:hAnsi="仿宋" w:eastAsia="仿宋_GB2312"/>
          <w:sz w:val="32"/>
          <w:szCs w:val="32"/>
        </w:rPr>
      </w:pPr>
      <w:r>
        <w:rPr>
          <w:rFonts w:hint="eastAsia" w:ascii="仿宋_GB2312" w:hAnsi="仿宋" w:eastAsia="仿宋_GB2312"/>
          <w:sz w:val="32"/>
          <w:szCs w:val="32"/>
        </w:rPr>
        <w:t>2.报价文件资料包括：营业执照、报价单、法定代表人身份证明及身份证复印件、承诺函、受委托经办人身份证复印件等，并按照本询价函附件格式提交材料。</w:t>
      </w:r>
    </w:p>
    <w:p>
      <w:pPr>
        <w:pStyle w:val="2"/>
        <w:ind w:firstLine="64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.项目要求</w:t>
      </w:r>
    </w:p>
    <w:p>
      <w:pPr>
        <w:pStyle w:val="2"/>
        <w:ind w:firstLine="64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.1安排专人直接向采购单位汇报并按采购单位要求完成供货工作;</w:t>
      </w:r>
    </w:p>
    <w:p>
      <w:pPr>
        <w:pStyle w:val="2"/>
        <w:ind w:firstLine="64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.2</w:t>
      </w:r>
      <w:r>
        <w:rPr>
          <w:rFonts w:hint="eastAsia" w:ascii="仿宋_GB2312" w:eastAsia="仿宋_GB2312" w:cs="宋体"/>
          <w:sz w:val="32"/>
          <w:szCs w:val="32"/>
        </w:rPr>
        <w:t>中标供应商应按照合同约定名称、样式供货，如有变更需经采购单位审批同意后实施</w:t>
      </w:r>
      <w:r>
        <w:rPr>
          <w:rFonts w:hint="eastAsia" w:ascii="仿宋_GB2312" w:hAnsi="仿宋" w:eastAsia="仿宋_GB2312"/>
          <w:sz w:val="32"/>
          <w:szCs w:val="32"/>
        </w:rPr>
        <w:t>；</w:t>
      </w:r>
    </w:p>
    <w:p>
      <w:pPr>
        <w:pStyle w:val="2"/>
        <w:ind w:firstLine="64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.3</w:t>
      </w:r>
      <w:r>
        <w:rPr>
          <w:rFonts w:hint="eastAsia" w:ascii="仿宋_GB2312" w:eastAsia="仿宋_GB2312" w:cs="宋体"/>
          <w:sz w:val="32"/>
          <w:szCs w:val="32"/>
        </w:rPr>
        <w:t>中标供应商选用的设备、材料应采用优等、环保产品</w:t>
      </w:r>
      <w:r>
        <w:rPr>
          <w:rFonts w:hint="eastAsia" w:ascii="仿宋_GB2312" w:hAnsi="仿宋" w:eastAsia="仿宋_GB2312"/>
          <w:sz w:val="32"/>
          <w:szCs w:val="32"/>
        </w:rPr>
        <w:t>；</w:t>
      </w:r>
    </w:p>
    <w:p>
      <w:pPr>
        <w:pStyle w:val="2"/>
        <w:ind w:firstLine="640"/>
        <w:rPr>
          <w:rFonts w:ascii="仿宋_GB2312" w:eastAsia="仿宋_GB2312" w:cs="宋体"/>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.4</w:t>
      </w:r>
      <w:r>
        <w:rPr>
          <w:rFonts w:hint="eastAsia" w:ascii="仿宋_GB2312" w:eastAsia="仿宋_GB2312" w:cs="宋体"/>
          <w:sz w:val="32"/>
          <w:szCs w:val="32"/>
        </w:rPr>
        <w:t>到货验收：货物运抵交货地后进行货物验收，货物验收范围包括型号、规格、数量、货物包装、外观质量、配件、货物装箱清单等方面内容。确认无误后双方签署到货验收单。货物在交货过程中发生意外事故以及其他原因造成的损失和风险由中标供应商承担。</w:t>
      </w:r>
    </w:p>
    <w:p>
      <w:pPr>
        <w:spacing w:line="560" w:lineRule="exact"/>
        <w:ind w:firstLine="377" w:firstLineChars="118"/>
        <w:rPr>
          <w:rFonts w:ascii="仿宋_GB2312" w:eastAsia="仿宋_GB2312" w:cs="宋体"/>
          <w:sz w:val="32"/>
          <w:szCs w:val="32"/>
        </w:rPr>
      </w:pPr>
      <w:r>
        <w:rPr>
          <w:rFonts w:hint="eastAsia" w:ascii="仿宋_GB2312" w:eastAsia="仿宋_GB2312" w:cs="宋体"/>
          <w:sz w:val="32"/>
          <w:szCs w:val="32"/>
        </w:rPr>
        <w:t>在验收过程中，因提交的货物部分或全部不符合本协议及订单约定的数量、质量标准，或者货物外观变形或损坏等未达到采购单位要求的，中标供应商应按采购单位要求在5日内更换补齐，确保所提交的货物符合协议约定，否则采购单位可以拒绝接受该货物或终止协议，由此给采购单位造成的损失由中标供应商赔偿。</w:t>
      </w:r>
    </w:p>
    <w:p>
      <w:pPr>
        <w:spacing w:line="560" w:lineRule="exact"/>
        <w:ind w:firstLine="377" w:firstLineChars="118"/>
        <w:rPr>
          <w:rFonts w:ascii="仿宋_GB2312" w:eastAsia="仿宋_GB2312" w:cs="宋体"/>
          <w:sz w:val="32"/>
          <w:szCs w:val="32"/>
        </w:rPr>
      </w:pPr>
      <w:r>
        <w:rPr>
          <w:rFonts w:hint="eastAsia" w:ascii="仿宋_GB2312" w:eastAsia="仿宋_GB2312" w:cs="宋体"/>
          <w:sz w:val="32"/>
          <w:szCs w:val="32"/>
        </w:rPr>
        <w:t>中标供应商应按照采购单位要求在规定时间内完成所有供货、调试等服务，验收合格后，双方人员签署运行验收单，验收完毕，中标供应商向采购单位提供所购货物的产品说明书。</w:t>
      </w:r>
    </w:p>
    <w:p>
      <w:pPr>
        <w:spacing w:line="560" w:lineRule="exact"/>
        <w:ind w:firstLine="377" w:firstLineChars="118"/>
        <w:rPr>
          <w:rFonts w:ascii="仿宋_GB2312" w:hAnsi="仿宋" w:eastAsia="仿宋_GB2312"/>
          <w:sz w:val="32"/>
          <w:szCs w:val="32"/>
        </w:rPr>
      </w:pPr>
      <w:r>
        <w:rPr>
          <w:rFonts w:hint="eastAsia" w:ascii="仿宋_GB2312" w:eastAsia="仿宋_GB2312" w:cs="宋体"/>
          <w:sz w:val="32"/>
          <w:szCs w:val="32"/>
        </w:rPr>
        <w:t>双方签署运行验收单视为交付，但不视为采购单位须据此付款。运行验收单签署后，采购单位向中标供应商支付95%合同款，中标供应商在采购单位通知日起3日内开出包含质量保证金在内的全额增值税专用发票做结账准备。在交付前及交付过程中发生的一切关于设备、调试等产品或服务的损失和风险由中标供应商承担</w:t>
      </w:r>
      <w:r>
        <w:rPr>
          <w:rFonts w:hint="eastAsia" w:ascii="仿宋_GB2312" w:hAnsi="仿宋" w:eastAsia="仿宋_GB2312"/>
          <w:sz w:val="32"/>
          <w:szCs w:val="32"/>
        </w:rPr>
        <w:t>；</w:t>
      </w:r>
    </w:p>
    <w:p>
      <w:pPr>
        <w:spacing w:line="560" w:lineRule="exact"/>
        <w:ind w:firstLine="377" w:firstLineChars="118"/>
        <w:rPr>
          <w:rFonts w:ascii="仿宋_GB2312" w:hAnsi="宋体" w:eastAsia="仿宋_GB2312" w:cs="宋体"/>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.5</w:t>
      </w:r>
      <w:r>
        <w:rPr>
          <w:rFonts w:hint="eastAsia" w:ascii="仿宋_GB2312" w:hAnsi="宋体" w:eastAsia="仿宋_GB2312" w:cs="宋体"/>
          <w:sz w:val="32"/>
          <w:szCs w:val="32"/>
        </w:rPr>
        <w:t>免费维保期限（包括但不限于起算时间、延长条款等）</w:t>
      </w:r>
    </w:p>
    <w:p>
      <w:pPr>
        <w:spacing w:line="560" w:lineRule="exact"/>
        <w:ind w:firstLine="377" w:firstLineChars="118"/>
        <w:rPr>
          <w:rFonts w:ascii="仿宋_GB2312" w:eastAsia="仿宋_GB2312" w:cs="宋体"/>
          <w:sz w:val="32"/>
          <w:szCs w:val="32"/>
        </w:rPr>
      </w:pPr>
      <w:r>
        <w:rPr>
          <w:rFonts w:hint="eastAsia" w:ascii="仿宋_GB2312" w:eastAsia="仿宋_GB2312" w:cs="宋体"/>
          <w:sz w:val="32"/>
          <w:szCs w:val="32"/>
        </w:rPr>
        <w:t>保修期限：中标供应商对本合同项下的产品提供</w:t>
      </w:r>
      <w:r>
        <w:rPr>
          <w:rFonts w:hint="eastAsia" w:ascii="仿宋_GB2312" w:eastAsia="仿宋_GB2312" w:cs="宋体"/>
          <w:sz w:val="32"/>
          <w:szCs w:val="32"/>
          <w:u w:val="single"/>
          <w:lang w:val="en-US" w:eastAsia="zh-CN"/>
        </w:rPr>
        <w:t>2</w:t>
      </w:r>
      <w:r>
        <w:rPr>
          <w:rFonts w:hint="eastAsia" w:ascii="仿宋_GB2312" w:eastAsia="仿宋_GB2312" w:cs="宋体"/>
          <w:sz w:val="32"/>
          <w:szCs w:val="32"/>
        </w:rPr>
        <w:t>年的免费保修和备品备件更换服务，上述费用均包含在合同总价内。</w:t>
      </w:r>
    </w:p>
    <w:p>
      <w:pPr>
        <w:spacing w:line="560" w:lineRule="exact"/>
        <w:ind w:firstLine="377" w:firstLineChars="118"/>
        <w:rPr>
          <w:rFonts w:ascii="仿宋_GB2312" w:hAnsi="宋体" w:eastAsia="仿宋_GB2312" w:cs="宋体"/>
          <w:sz w:val="32"/>
          <w:szCs w:val="32"/>
        </w:rPr>
      </w:pPr>
      <w:r>
        <w:rPr>
          <w:rFonts w:hint="eastAsia" w:ascii="仿宋_GB2312" w:eastAsia="仿宋_GB2312" w:cs="宋体"/>
          <w:sz w:val="32"/>
          <w:szCs w:val="32"/>
        </w:rPr>
        <w:t>保修日期自系统验收合格、双方签署《到货验收单》之日起计算。</w:t>
      </w:r>
      <w:r>
        <w:rPr>
          <w:rFonts w:hint="eastAsia" w:ascii="仿宋_GB2312" w:hAnsi="宋体" w:eastAsia="仿宋_GB2312" w:cs="宋体"/>
          <w:sz w:val="32"/>
          <w:szCs w:val="32"/>
        </w:rPr>
        <w:t>免费维保期内包含内容：</w:t>
      </w:r>
    </w:p>
    <w:p>
      <w:pPr>
        <w:spacing w:line="560" w:lineRule="exact"/>
        <w:ind w:firstLine="377" w:firstLineChars="118"/>
        <w:rPr>
          <w:rFonts w:ascii="仿宋_GB2312" w:eastAsia="仿宋_GB2312" w:cs="宋体"/>
          <w:sz w:val="32"/>
          <w:szCs w:val="32"/>
        </w:rPr>
      </w:pPr>
      <w:r>
        <w:rPr>
          <w:rFonts w:hint="eastAsia" w:ascii="仿宋_GB2312" w:eastAsia="仿宋_GB2312" w:cs="宋体"/>
          <w:sz w:val="32"/>
          <w:szCs w:val="32"/>
        </w:rPr>
        <w:t>免费维保期内，中标供应商提供免费上门服务，即使进行维修、备品备件更换等服务</w:t>
      </w:r>
      <w:r>
        <w:rPr>
          <w:rFonts w:hint="eastAsia" w:ascii="仿宋_GB2312" w:eastAsia="仿宋_GB2312" w:cs="宋体"/>
          <w:sz w:val="32"/>
          <w:szCs w:val="32"/>
          <w:lang w:val="en-US" w:eastAsia="zh-CN"/>
        </w:rPr>
        <w:t>也</w:t>
      </w:r>
      <w:r>
        <w:rPr>
          <w:rFonts w:hint="eastAsia" w:ascii="仿宋_GB2312" w:eastAsia="仿宋_GB2312" w:cs="宋体"/>
          <w:sz w:val="32"/>
          <w:szCs w:val="32"/>
        </w:rPr>
        <w:t>不再收取任何费用；</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支持7×24小时现场维护服务和电话支持服务，提供故障报修热线服务联系电话。采购单位报障后（包括但不限于电话、短信、邮件等方式），</w:t>
      </w:r>
      <w:r>
        <w:rPr>
          <w:rFonts w:hint="eastAsia" w:ascii="仿宋_GB2312" w:hAnsi="宋体" w:eastAsia="仿宋_GB2312" w:cs="仿宋_GB2312"/>
          <w:color w:val="000000"/>
          <w:sz w:val="31"/>
          <w:szCs w:val="31"/>
          <w:shd w:val="clear" w:color="auto" w:fill="FFFFFF"/>
        </w:rPr>
        <w:t>通知1小时内做出响应，2小时内到达现场，12小时维修完毕，规定时间内未解决处理需提供备用机使用。听从现场工作人员的安排，注意维护办公秩序，保密。</w:t>
      </w:r>
    </w:p>
    <w:p>
      <w:pPr>
        <w:spacing w:line="560" w:lineRule="exact"/>
        <w:ind w:left="-120" w:leftChars="-57"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.6保修期满后经中标供应商书面申请</w:t>
      </w:r>
      <w:r>
        <w:rPr>
          <w:rFonts w:hint="eastAsia" w:ascii="仿宋_GB2312" w:hAnsi="仿宋" w:eastAsia="仿宋_GB2312"/>
          <w:sz w:val="32"/>
          <w:szCs w:val="32"/>
          <w:lang w:val="en-US" w:eastAsia="zh-CN"/>
        </w:rPr>
        <w:t>15</w:t>
      </w:r>
      <w:r>
        <w:rPr>
          <w:rFonts w:hint="eastAsia" w:ascii="仿宋_GB2312" w:hAnsi="仿宋" w:eastAsia="仿宋_GB2312"/>
          <w:sz w:val="32"/>
          <w:szCs w:val="32"/>
        </w:rPr>
        <w:t>个工作日内，采购单位向中标供应商无息支付5%质保金。</w:t>
      </w:r>
    </w:p>
    <w:p>
      <w:pPr>
        <w:spacing w:line="560" w:lineRule="exact"/>
        <w:ind w:firstLine="640" w:firstLineChars="200"/>
        <w:rPr>
          <w:rFonts w:ascii="仿宋_GB2312" w:eastAsia="仿宋_GB2312"/>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eastAsia="仿宋_GB2312"/>
          <w:sz w:val="32"/>
          <w:szCs w:val="32"/>
          <w:lang w:val="zh-CN"/>
        </w:rPr>
        <w:t>中标选取方式：</w:t>
      </w:r>
      <w:r>
        <w:rPr>
          <w:rFonts w:hint="eastAsia" w:ascii="仿宋_GB2312" w:eastAsia="仿宋_GB2312"/>
          <w:sz w:val="32"/>
          <w:szCs w:val="32"/>
        </w:rPr>
        <w:t>最低价中标法，</w:t>
      </w:r>
      <w:r>
        <w:rPr>
          <w:rFonts w:hint="eastAsia" w:ascii="仿宋_GB2312" w:hAnsi="方正小标宋_GBK" w:eastAsia="仿宋_GB2312" w:cs="方正小标宋_GBK"/>
          <w:sz w:val="32"/>
          <w:szCs w:val="32"/>
        </w:rPr>
        <w:t>符合采购要求、报价合理且最低的单位为中标单位</w:t>
      </w:r>
      <w:r>
        <w:rPr>
          <w:rFonts w:hint="eastAsia" w:ascii="仿宋_GB2312" w:eastAsia="仿宋_GB2312"/>
          <w:sz w:val="32"/>
          <w:szCs w:val="32"/>
          <w:lang w:val="zh-CN"/>
        </w:rPr>
        <w:t>。如出现报价相同，选择报价单位中提供的业绩中单一合同额最高者作为中标单位。</w:t>
      </w:r>
    </w:p>
    <w:p>
      <w:pPr>
        <w:pStyle w:val="2"/>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 如采购单位后期需要临时增加采购</w:t>
      </w:r>
      <w:r>
        <w:rPr>
          <w:rFonts w:hint="eastAsia" w:ascii="仿宋_GB2312" w:hAnsi="仿宋" w:eastAsia="仿宋_GB2312"/>
          <w:sz w:val="32"/>
          <w:szCs w:val="32"/>
          <w:lang w:eastAsia="zh-CN"/>
        </w:rPr>
        <w:t>空气净化器</w:t>
      </w:r>
      <w:r>
        <w:rPr>
          <w:rFonts w:hint="eastAsia" w:ascii="仿宋_GB2312" w:hAnsi="仿宋" w:eastAsia="仿宋_GB2312"/>
          <w:sz w:val="32"/>
          <w:szCs w:val="32"/>
        </w:rPr>
        <w:t>，可按不高于合同内同等型号单价，通过签订充协议的形式向中标供应商进行采购。</w:t>
      </w:r>
    </w:p>
    <w:p>
      <w:pPr>
        <w:pStyle w:val="2"/>
        <w:ind w:firstLine="640"/>
        <w:rPr>
          <w:rFonts w:ascii="仿宋_GB2312"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.以上材料需加盖公章并装订成册（营业执照、资格证明可提供复印件并加盖公章）装入文件袋密封，密封后在封口处加盖骑缝章，在封面标明项目名称：</w:t>
      </w:r>
      <w:r>
        <w:rPr>
          <w:rFonts w:hint="eastAsia" w:ascii="仿宋_GB2312" w:eastAsia="仿宋_GB2312"/>
          <w:sz w:val="32"/>
          <w:szCs w:val="32"/>
        </w:rPr>
        <w:t>T2商务写字楼空气净化器采购项目</w:t>
      </w:r>
      <w:r>
        <w:rPr>
          <w:rFonts w:hint="eastAsia" w:ascii="仿宋_GB2312" w:hAnsi="仿宋" w:eastAsia="仿宋_GB2312"/>
          <w:sz w:val="32"/>
          <w:szCs w:val="32"/>
        </w:rPr>
        <w:t>。</w:t>
      </w:r>
    </w:p>
    <w:p>
      <w:pPr>
        <w:pStyle w:val="2"/>
        <w:ind w:firstLine="640"/>
        <w:rPr>
          <w:rFonts w:hint="eastAsia" w:ascii="仿宋_GB2312" w:hAnsi="Calibri" w:eastAsia="仿宋_GB2312" w:cs="Times New Roman"/>
          <w:sz w:val="32"/>
          <w:lang w:val="en-US" w:eastAsia="zh-CN"/>
        </w:rPr>
      </w:pPr>
      <w:r>
        <w:rPr>
          <w:rFonts w:hint="eastAsia" w:ascii="仿宋_GB2312" w:hAnsi="仿宋" w:eastAsia="仿宋_GB2312"/>
          <w:sz w:val="32"/>
          <w:szCs w:val="32"/>
        </w:rPr>
        <w:t>上述提报资料模板详见附件1—附件</w:t>
      </w:r>
      <w:r>
        <w:rPr>
          <w:rFonts w:hint="eastAsia" w:ascii="仿宋_GB2312" w:hAnsi="仿宋" w:eastAsia="仿宋_GB2312"/>
          <w:sz w:val="32"/>
          <w:szCs w:val="32"/>
          <w:lang w:val="en-US" w:eastAsia="zh-CN"/>
        </w:rPr>
        <w:t>8</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1.报价时间截止</w:t>
      </w:r>
      <w:r>
        <w:rPr>
          <w:rFonts w:hint="eastAsia" w:ascii="仿宋_GB2312" w:hAnsi="仿宋_GB2312" w:eastAsia="仿宋_GB2312" w:cs="仿宋_GB2312"/>
          <w:b/>
          <w:bCs/>
          <w:kern w:val="0"/>
          <w:sz w:val="32"/>
          <w:szCs w:val="32"/>
        </w:rPr>
        <w:t>：</w:t>
      </w:r>
      <w:r>
        <w:rPr>
          <w:rFonts w:hint="eastAsia" w:ascii="仿宋_GB2312" w:hAnsi="仿宋" w:eastAsia="仿宋_GB2312" w:cs="宋体"/>
          <w:b/>
          <w:bCs/>
          <w:kern w:val="0"/>
          <w:sz w:val="32"/>
          <w:szCs w:val="32"/>
        </w:rPr>
        <w:t>202</w:t>
      </w:r>
      <w:r>
        <w:rPr>
          <w:rFonts w:hint="eastAsia" w:ascii="仿宋_GB2312" w:hAnsi="仿宋" w:eastAsia="仿宋_GB2312" w:cs="宋体"/>
          <w:b/>
          <w:bCs/>
          <w:kern w:val="0"/>
          <w:sz w:val="32"/>
          <w:szCs w:val="32"/>
          <w:lang w:val="en-US" w:eastAsia="zh-CN"/>
        </w:rPr>
        <w:t>4</w:t>
      </w:r>
      <w:r>
        <w:rPr>
          <w:rFonts w:hint="eastAsia" w:ascii="仿宋_GB2312" w:hAnsi="仿宋" w:eastAsia="仿宋_GB2312" w:cs="宋体"/>
          <w:b/>
          <w:bCs/>
          <w:kern w:val="0"/>
          <w:sz w:val="32"/>
          <w:szCs w:val="32"/>
        </w:rPr>
        <w:t>年</w:t>
      </w:r>
      <w:r>
        <w:rPr>
          <w:rFonts w:hint="eastAsia" w:ascii="仿宋_GB2312" w:hAnsi="仿宋" w:eastAsia="仿宋_GB2312" w:cs="宋体"/>
          <w:b/>
          <w:bCs/>
          <w:kern w:val="0"/>
          <w:sz w:val="32"/>
          <w:szCs w:val="32"/>
          <w:lang w:val="en-US" w:eastAsia="zh-CN"/>
        </w:rPr>
        <w:t>2</w:t>
      </w:r>
      <w:r>
        <w:rPr>
          <w:rFonts w:hint="eastAsia" w:ascii="仿宋_GB2312" w:hAnsi="仿宋" w:eastAsia="仿宋_GB2312" w:cs="宋体"/>
          <w:b/>
          <w:bCs/>
          <w:kern w:val="0"/>
          <w:sz w:val="32"/>
          <w:szCs w:val="32"/>
        </w:rPr>
        <w:t>月</w:t>
      </w:r>
      <w:r>
        <w:rPr>
          <w:rFonts w:hint="eastAsia" w:ascii="仿宋_GB2312" w:hAnsi="仿宋" w:eastAsia="仿宋_GB2312" w:cs="宋体"/>
          <w:b/>
          <w:bCs/>
          <w:kern w:val="0"/>
          <w:sz w:val="32"/>
          <w:szCs w:val="32"/>
          <w:lang w:val="en-US" w:eastAsia="zh-CN"/>
        </w:rPr>
        <w:t>22</w:t>
      </w:r>
      <w:bookmarkStart w:id="5" w:name="_GoBack"/>
      <w:bookmarkEnd w:id="5"/>
      <w:r>
        <w:rPr>
          <w:rFonts w:hint="eastAsia" w:ascii="仿宋_GB2312" w:hAnsi="仿宋" w:eastAsia="仿宋_GB2312" w:cs="宋体"/>
          <w:b/>
          <w:bCs/>
          <w:kern w:val="0"/>
          <w:sz w:val="32"/>
          <w:szCs w:val="32"/>
        </w:rPr>
        <w:t>日</w:t>
      </w:r>
      <w:r>
        <w:rPr>
          <w:rFonts w:hint="eastAsia" w:ascii="仿宋_GB2312" w:hAnsi="仿宋" w:eastAsia="仿宋_GB2312" w:cs="宋体"/>
          <w:b/>
          <w:bCs/>
          <w:kern w:val="0"/>
          <w:sz w:val="32"/>
          <w:szCs w:val="32"/>
          <w:lang w:val="en-US" w:eastAsia="zh-CN"/>
        </w:rPr>
        <w:t>10</w:t>
      </w:r>
      <w:r>
        <w:rPr>
          <w:rFonts w:hint="eastAsia" w:ascii="仿宋_GB2312" w:hAnsi="仿宋" w:eastAsia="仿宋_GB2312" w:cs="宋体"/>
          <w:b/>
          <w:bCs/>
          <w:kern w:val="0"/>
          <w:sz w:val="32"/>
          <w:szCs w:val="32"/>
        </w:rPr>
        <w:t>点之前</w:t>
      </w:r>
      <w:r>
        <w:rPr>
          <w:rFonts w:hint="eastAsia" w:ascii="仿宋_GB2312" w:hAnsi="仿宋" w:eastAsia="仿宋_GB2312" w:cs="宋体"/>
          <w:kern w:val="0"/>
          <w:sz w:val="32"/>
          <w:szCs w:val="32"/>
        </w:rPr>
        <w:t>。</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3.地点：</w:t>
      </w:r>
      <w:r>
        <w:rPr>
          <w:rFonts w:hint="eastAsia" w:ascii="仿宋_GB2312" w:hAnsi="仿宋" w:eastAsia="仿宋_GB2312"/>
          <w:sz w:val="32"/>
          <w:szCs w:val="32"/>
        </w:rPr>
        <w:t>青岛市崂山区香港东路195号上实T</w:t>
      </w:r>
      <w:r>
        <w:rPr>
          <w:rFonts w:ascii="仿宋_GB2312" w:hAnsi="仿宋" w:eastAsia="仿宋_GB2312"/>
          <w:sz w:val="32"/>
          <w:szCs w:val="32"/>
        </w:rPr>
        <w:t>2</w:t>
      </w:r>
      <w:r>
        <w:rPr>
          <w:rFonts w:hint="eastAsia" w:ascii="仿宋_GB2312" w:hAnsi="仿宋" w:eastAsia="仿宋_GB2312"/>
          <w:sz w:val="32"/>
          <w:szCs w:val="32"/>
        </w:rPr>
        <w:t>办公楼13楼</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本项目公告自发出之日起至报价截止时间止。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spacing w:line="440" w:lineRule="exact"/>
        <w:ind w:firstLine="960" w:firstLineChars="300"/>
        <w:rPr>
          <w:rFonts w:ascii="仿宋_GB2312" w:hAnsi="仿宋_GB2312" w:eastAsia="仿宋_GB2312" w:cs="仿宋_GB2312"/>
          <w:kern w:val="0"/>
          <w:sz w:val="32"/>
          <w:szCs w:val="32"/>
        </w:rPr>
      </w:pPr>
      <w:r>
        <w:rPr>
          <w:rFonts w:hint="eastAsia" w:ascii="仿宋_GB2312" w:eastAsia="仿宋_GB2312" w:cs="黑体"/>
          <w:sz w:val="32"/>
          <w:szCs w:val="32"/>
        </w:rPr>
        <w:t>联系人：柳岩</w:t>
      </w:r>
      <w:r>
        <w:rPr>
          <w:rFonts w:hint="eastAsia" w:ascii="仿宋_GB2312" w:hAnsi="黑体" w:eastAsia="仿宋_GB2312" w:cs="黑体"/>
          <w:sz w:val="32"/>
          <w:szCs w:val="32"/>
        </w:rPr>
        <w:t xml:space="preserve">     </w:t>
      </w:r>
      <w:r>
        <w:rPr>
          <w:rFonts w:hint="eastAsia" w:ascii="仿宋_GB2312" w:eastAsia="仿宋_GB2312" w:cs="黑体"/>
          <w:sz w:val="32"/>
          <w:szCs w:val="32"/>
        </w:rPr>
        <w:t>联系方式：15964980353</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bookmarkStart w:id="0" w:name="_Hlk137215411"/>
      <w:r>
        <w:rPr>
          <w:rFonts w:hint="eastAsia" w:ascii="仿宋_GB2312" w:hAnsi="仿宋_GB2312" w:eastAsia="仿宋_GB2312" w:cs="仿宋_GB2312"/>
          <w:kern w:val="0"/>
          <w:sz w:val="32"/>
          <w:szCs w:val="32"/>
        </w:rPr>
        <w:t>1.承诺函</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2.城投商管集团合作伙伴反腐败政策告知书</w:t>
      </w:r>
      <w:r>
        <w:fldChar w:fldCharType="begin"/>
      </w:r>
      <w:r>
        <w:instrText xml:space="preserve"> HYPERLINK "https://www.huawei.com/cn/compliance/anti-corruption-policy-for-huawei-partners" \o "分享到微信" </w:instrText>
      </w:r>
      <w:r>
        <w:fldChar w:fldCharType="separate"/>
      </w:r>
      <w:r>
        <w:fldChar w:fldCharType="end"/>
      </w:r>
    </w:p>
    <w:p>
      <w:pPr>
        <w:spacing w:line="560" w:lineRule="exact"/>
        <w:ind w:right="-105" w:rightChars="-50"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合同主要条款</w:t>
      </w:r>
    </w:p>
    <w:p>
      <w:pPr>
        <w:spacing w:line="560" w:lineRule="exact"/>
        <w:ind w:right="-105" w:rightChars="-50"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报价单位信息表</w:t>
      </w:r>
    </w:p>
    <w:p>
      <w:pPr>
        <w:spacing w:line="560" w:lineRule="exact"/>
        <w:ind w:right="-105" w:rightChars="-50"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.资格证明文件格式及证明材料</w:t>
      </w:r>
    </w:p>
    <w:p>
      <w:pPr>
        <w:spacing w:line="560" w:lineRule="exact"/>
        <w:ind w:right="-105" w:rightChars="-50"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.上实</w:t>
      </w:r>
      <w:r>
        <w:rPr>
          <w:rFonts w:ascii="仿宋_GB2312" w:hAnsi="仿宋_GB2312" w:eastAsia="仿宋_GB2312" w:cs="仿宋_GB2312"/>
          <w:sz w:val="32"/>
          <w:szCs w:val="32"/>
        </w:rPr>
        <w:t>T</w:t>
      </w:r>
      <w:r>
        <w:rPr>
          <w:rFonts w:hint="eastAsia" w:ascii="仿宋_GB2312" w:hAnsi="仿宋_GB2312" w:eastAsia="仿宋_GB2312" w:cs="仿宋_GB2312"/>
          <w:sz w:val="32"/>
          <w:szCs w:val="32"/>
        </w:rPr>
        <w:t>2楼空气净化器购置项目报价单</w:t>
      </w:r>
    </w:p>
    <w:p>
      <w:pPr>
        <w:spacing w:line="560" w:lineRule="exact"/>
        <w:ind w:right="-105" w:rightChars="-50" w:firstLine="1600" w:firstLineChars="500"/>
        <w:rPr>
          <w:rFonts w:hint="eastAsia" w:ascii="仿宋_GB2312" w:hAnsi="仿宋_GB2312" w:eastAsia="仿宋_GB2312" w:cs="仿宋_GB2312"/>
          <w:sz w:val="32"/>
          <w:szCs w:val="32"/>
        </w:rPr>
      </w:pPr>
      <w:bookmarkStart w:id="1" w:name="_Hlk137209033"/>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bookmarkStart w:id="2" w:name="_Hlk137045081"/>
      <w:r>
        <w:rPr>
          <w:rFonts w:hint="eastAsia" w:ascii="仿宋_GB2312" w:hAnsi="仿宋_GB2312" w:eastAsia="仿宋_GB2312" w:cs="仿宋_GB2312"/>
          <w:sz w:val="32"/>
          <w:szCs w:val="32"/>
        </w:rPr>
        <w:t>项目团队配备人员一览表</w:t>
      </w:r>
      <w:bookmarkEnd w:id="1"/>
      <w:bookmarkEnd w:id="2"/>
    </w:p>
    <w:bookmarkEnd w:id="0"/>
    <w:p>
      <w:pPr>
        <w:spacing w:line="560" w:lineRule="exact"/>
        <w:ind w:right="-105" w:rightChars="-5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报价文件包装袋密封件正面和封口格式</w:t>
      </w:r>
    </w:p>
    <w:p>
      <w:pPr>
        <w:spacing w:line="560" w:lineRule="exact"/>
        <w:rPr>
          <w:rFonts w:hint="default" w:ascii="仿宋_GB2312" w:hAnsi="Times New Roman" w:eastAsia="仿宋_GB2312" w:cs="Times New Roman"/>
          <w:sz w:val="32"/>
          <w:szCs w:val="32"/>
          <w:lang w:val="en-US" w:eastAsia="zh-CN"/>
        </w:rPr>
      </w:pPr>
    </w:p>
    <w:p>
      <w:pPr>
        <w:spacing w:line="560" w:lineRule="exact"/>
        <w:ind w:firstLine="4160" w:firstLineChars="1300"/>
        <w:rPr>
          <w:rFonts w:ascii="仿宋_GB2312" w:hAnsi="Times New Roman" w:eastAsia="仿宋_GB2312" w:cs="Times New Roman"/>
          <w:sz w:val="32"/>
          <w:szCs w:val="32"/>
        </w:rPr>
      </w:pPr>
    </w:p>
    <w:p>
      <w:pPr>
        <w:spacing w:line="560" w:lineRule="exact"/>
        <w:ind w:firstLine="4480" w:firstLineChars="1400"/>
        <w:rPr>
          <w:rFonts w:ascii="仿宋_GB2312" w:hAnsi="黑体" w:eastAsia="仿宋_GB2312" w:cs="黑体"/>
          <w:sz w:val="32"/>
          <w:szCs w:val="32"/>
        </w:rPr>
      </w:pPr>
      <w:r>
        <w:rPr>
          <w:rFonts w:hint="eastAsia" w:ascii="仿宋_GB2312" w:hAnsi="Times New Roman" w:eastAsia="仿宋_GB2312" w:cs="Times New Roman"/>
          <w:sz w:val="32"/>
          <w:szCs w:val="32"/>
        </w:rPr>
        <w:t>青岛城新城市服务有限公司</w:t>
      </w:r>
      <w:r>
        <w:rPr>
          <w:rFonts w:hint="eastAsia" w:ascii="仿宋_GB2312" w:hAnsi="黑体" w:eastAsia="仿宋_GB2312" w:cs="黑体"/>
          <w:sz w:val="32"/>
          <w:szCs w:val="32"/>
        </w:rPr>
        <w:t xml:space="preserve"> </w:t>
      </w:r>
    </w:p>
    <w:p>
      <w:pPr>
        <w:spacing w:line="560" w:lineRule="exact"/>
        <w:ind w:firstLine="2240" w:firstLineChars="700"/>
        <w:rPr>
          <w:rFonts w:ascii="黑体" w:hAnsi="黑体" w:eastAsia="仿宋_GB2312" w:cs="方正仿宋_GB2312"/>
          <w:bCs/>
          <w:kern w:val="1"/>
          <w:sz w:val="32"/>
          <w:szCs w:val="32"/>
        </w:rPr>
      </w:pPr>
      <w:r>
        <w:rPr>
          <w:rFonts w:hint="eastAsia" w:ascii="仿宋_GB2312" w:hAnsi="黑体" w:eastAsia="仿宋_GB2312" w:cs="黑体"/>
          <w:sz w:val="32"/>
          <w:szCs w:val="32"/>
        </w:rPr>
        <w:t xml:space="preserve">                 　　　</w:t>
      </w:r>
      <w:r>
        <w:rPr>
          <w:rFonts w:hint="eastAsia" w:ascii="仿宋_GB2312" w:hAnsi="Times New Roman" w:eastAsia="仿宋_GB2312" w:cs="黑体"/>
          <w:sz w:val="32"/>
          <w:szCs w:val="32"/>
        </w:rPr>
        <w:t>2024年</w:t>
      </w:r>
      <w:r>
        <w:rPr>
          <w:rFonts w:hint="eastAsia" w:ascii="仿宋_GB2312" w:eastAsia="仿宋_GB2312" w:cs="黑体"/>
          <w:sz w:val="32"/>
          <w:szCs w:val="32"/>
          <w:lang w:val="en-US" w:eastAsia="zh-CN"/>
        </w:rPr>
        <w:t>2</w:t>
      </w:r>
      <w:r>
        <w:rPr>
          <w:rFonts w:hint="eastAsia" w:ascii="仿宋_GB2312" w:hAnsi="Times New Roman" w:eastAsia="仿宋_GB2312" w:cs="黑体"/>
          <w:sz w:val="32"/>
          <w:szCs w:val="32"/>
        </w:rPr>
        <w:t xml:space="preserve">月 </w:t>
      </w:r>
      <w:r>
        <w:rPr>
          <w:rFonts w:hint="eastAsia" w:ascii="仿宋_GB2312" w:eastAsia="仿宋_GB2312" w:cs="黑体"/>
          <w:sz w:val="32"/>
          <w:szCs w:val="32"/>
          <w:lang w:val="en-US" w:eastAsia="zh-CN"/>
        </w:rPr>
        <w:t>9</w:t>
      </w:r>
      <w:r>
        <w:rPr>
          <w:rFonts w:hint="eastAsia" w:ascii="仿宋_GB2312" w:hAnsi="Times New Roman" w:eastAsia="仿宋_GB2312" w:cs="黑体"/>
          <w:sz w:val="32"/>
          <w:szCs w:val="32"/>
        </w:rPr>
        <w:t xml:space="preserve"> 日</w:t>
      </w:r>
    </w:p>
    <w:p>
      <w:pPr>
        <w:spacing w:line="560" w:lineRule="exact"/>
        <w:rPr>
          <w:rFonts w:ascii="黑体" w:hAnsi="黑体" w:eastAsia="黑体" w:cs="方正仿宋_GB2312"/>
          <w:bCs/>
          <w:kern w:val="1"/>
          <w:sz w:val="32"/>
          <w:szCs w:val="32"/>
        </w:rPr>
      </w:pPr>
    </w:p>
    <w:p>
      <w:pPr>
        <w:spacing w:line="560" w:lineRule="exact"/>
        <w:rPr>
          <w:rFonts w:hint="eastAsia" w:ascii="黑体" w:hAnsi="黑体" w:eastAsia="黑体" w:cs="方正仿宋_GB2312"/>
          <w:bCs/>
          <w:kern w:val="1"/>
          <w:sz w:val="32"/>
          <w:szCs w:val="32"/>
        </w:rPr>
      </w:pPr>
    </w:p>
    <w:p>
      <w:pPr>
        <w:spacing w:line="560" w:lineRule="exact"/>
        <w:rPr>
          <w:rFonts w:ascii="华文细黑" w:hAnsi="华文细黑" w:eastAsia="华文细黑" w:cs="Calibri"/>
          <w:b/>
          <w:sz w:val="24"/>
          <w:szCs w:val="21"/>
        </w:rPr>
      </w:pPr>
      <w:r>
        <w:rPr>
          <w:rFonts w:hint="eastAsia" w:ascii="黑体" w:hAnsi="黑体" w:eastAsia="黑体" w:cs="方正仿宋_GB2312"/>
          <w:bCs/>
          <w:kern w:val="1"/>
          <w:sz w:val="32"/>
          <w:szCs w:val="32"/>
        </w:rPr>
        <w:t>附件1</w:t>
      </w:r>
    </w:p>
    <w:p>
      <w:pPr>
        <w:widowControl/>
        <w:spacing w:line="560" w:lineRule="exact"/>
        <w:jc w:val="center"/>
        <w:rPr>
          <w:rFonts w:ascii="方正小标宋_GBK" w:hAnsi="宋体" w:eastAsia="方正小标宋_GBK" w:cs="方正仿宋_GB2312"/>
          <w:bCs/>
          <w:kern w:val="1"/>
          <w:sz w:val="44"/>
          <w:szCs w:val="44"/>
        </w:rPr>
      </w:pPr>
      <w:r>
        <w:rPr>
          <w:rFonts w:hint="eastAsia" w:ascii="方正小标宋_GBK" w:hAnsi="宋体" w:eastAsia="方正小标宋_GBK" w:cs="方正仿宋_GB2312"/>
          <w:bCs/>
          <w:kern w:val="1"/>
          <w:sz w:val="44"/>
          <w:szCs w:val="44"/>
        </w:rPr>
        <w:t>承诺函（格式）</w:t>
      </w:r>
    </w:p>
    <w:p>
      <w:pPr>
        <w:widowControl/>
        <w:spacing w:line="560" w:lineRule="exact"/>
        <w:jc w:val="center"/>
        <w:rPr>
          <w:rFonts w:ascii="方正小标宋_GBK" w:hAnsi="宋体" w:eastAsia="方正小标宋_GBK" w:cs="方正仿宋_GB2312"/>
          <w:kern w:val="1"/>
          <w:sz w:val="44"/>
          <w:szCs w:val="44"/>
        </w:rPr>
      </w:pPr>
    </w:p>
    <w:p>
      <w:pPr>
        <w:widowControl/>
        <w:spacing w:line="560" w:lineRule="exact"/>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青岛城新城市服务有限公司：</w:t>
      </w:r>
    </w:p>
    <w:p>
      <w:pPr>
        <w:widowControl/>
        <w:spacing w:line="560" w:lineRule="exact"/>
        <w:ind w:firstLine="645"/>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1.我单位全面研究了贵公司发出的询价函，决定参加贵公司组织的本项目招标。我方授权</w:t>
      </w:r>
      <w:r>
        <w:rPr>
          <w:rFonts w:hint="eastAsia" w:ascii="仿宋_GB2312" w:hAnsi="宋体" w:eastAsia="仿宋_GB2312" w:cs="宋体"/>
          <w:kern w:val="1"/>
          <w:sz w:val="32"/>
          <w:szCs w:val="32"/>
          <w:u w:val="single"/>
        </w:rPr>
        <w:t>       </w:t>
      </w:r>
      <w:r>
        <w:rPr>
          <w:rFonts w:hint="eastAsia" w:ascii="仿宋_GB2312" w:hAnsi="仿宋" w:eastAsia="仿宋_GB2312" w:cs="方正仿宋_GB2312"/>
          <w:kern w:val="1"/>
          <w:sz w:val="32"/>
          <w:szCs w:val="32"/>
          <w:u w:val="single"/>
        </w:rPr>
        <w:t xml:space="preserve">  </w:t>
      </w:r>
      <w:r>
        <w:rPr>
          <w:rFonts w:hint="eastAsia" w:ascii="仿宋_GB2312" w:hAnsi="仿宋" w:eastAsia="仿宋_GB2312" w:cs="方正仿宋_GB2312"/>
          <w:kern w:val="1"/>
          <w:sz w:val="32"/>
          <w:szCs w:val="32"/>
        </w:rPr>
        <w:t>（姓名）代表我方</w:t>
      </w:r>
      <w:r>
        <w:rPr>
          <w:rFonts w:hint="eastAsia" w:ascii="仿宋_GB2312" w:hAnsi="宋体" w:eastAsia="仿宋_GB2312" w:cs="宋体"/>
          <w:kern w:val="1"/>
          <w:sz w:val="32"/>
          <w:szCs w:val="32"/>
          <w:u w:val="single"/>
        </w:rPr>
        <w:t>           </w:t>
      </w:r>
      <w:r>
        <w:rPr>
          <w:rFonts w:hint="eastAsia" w:ascii="仿宋_GB2312" w:hAnsi="仿宋" w:eastAsia="仿宋_GB2312" w:cs="方正仿宋_GB2312"/>
          <w:kern w:val="1"/>
          <w:sz w:val="32"/>
          <w:szCs w:val="32"/>
        </w:rPr>
        <w:t>（报价单位的名称）全权处理本项目招标的有关事宜。</w:t>
      </w:r>
    </w:p>
    <w:p>
      <w:pPr>
        <w:widowControl/>
        <w:spacing w:line="560" w:lineRule="exact"/>
        <w:ind w:firstLine="63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2.一旦我方中标，我方将严格履行协议书、合同及招标文件规定的责任和义务。</w:t>
      </w:r>
    </w:p>
    <w:p>
      <w:pPr>
        <w:widowControl/>
        <w:spacing w:line="560" w:lineRule="exact"/>
        <w:ind w:firstLine="60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3.我方愿意提供贵公司另外要求的，与报价有关的文件资料，并保证我方已提供和将要提供的文件资料是真实准确的。</w:t>
      </w:r>
      <w:r>
        <w:rPr>
          <w:rFonts w:hint="eastAsia" w:ascii="仿宋_GB2312" w:hAnsi="仿宋" w:eastAsia="仿宋_GB2312" w:cs="Calibri"/>
          <w:sz w:val="32"/>
          <w:szCs w:val="32"/>
          <w:lang w:bidi="ar"/>
        </w:rPr>
        <w:t>如有作假，报价作废，我方自愿放弃</w:t>
      </w:r>
      <w:r>
        <w:rPr>
          <w:rFonts w:hint="eastAsia" w:ascii="仿宋_GB2312" w:hAnsi="仿宋" w:eastAsia="仿宋_GB2312" w:cs="方正仿宋_GB2312"/>
          <w:kern w:val="1"/>
          <w:sz w:val="32"/>
          <w:szCs w:val="32"/>
        </w:rPr>
        <w:t>本项目</w:t>
      </w:r>
      <w:r>
        <w:rPr>
          <w:rFonts w:hint="eastAsia" w:ascii="仿宋_GB2312" w:hAnsi="仿宋" w:eastAsia="仿宋_GB2312" w:cs="Calibri"/>
          <w:sz w:val="32"/>
          <w:szCs w:val="32"/>
          <w:lang w:bidi="ar"/>
        </w:rPr>
        <w:t>投标资格。</w:t>
      </w:r>
    </w:p>
    <w:p>
      <w:pPr>
        <w:widowControl/>
        <w:spacing w:line="560" w:lineRule="exact"/>
        <w:ind w:firstLine="63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4.我方完全理解贵公司不一定将合同授予最低报价的报价人的行为。</w:t>
      </w:r>
    </w:p>
    <w:p>
      <w:pPr>
        <w:widowControl/>
        <w:spacing w:line="560" w:lineRule="exact"/>
        <w:ind w:firstLine="630"/>
        <w:rPr>
          <w:rFonts w:ascii="仿宋_GB2312" w:hAnsi="仿宋" w:eastAsia="仿宋_GB2312" w:cs="方正仿宋_GB2312"/>
          <w:kern w:val="1"/>
          <w:sz w:val="32"/>
          <w:szCs w:val="32"/>
        </w:rPr>
      </w:pPr>
    </w:p>
    <w:p>
      <w:pPr>
        <w:widowControl/>
        <w:spacing w:line="560" w:lineRule="exact"/>
        <w:ind w:firstLine="630"/>
        <w:rPr>
          <w:rFonts w:ascii="仿宋_GB2312" w:hAnsi="仿宋" w:eastAsia="仿宋_GB2312" w:cs="方正仿宋_GB2312"/>
          <w:kern w:val="1"/>
          <w:sz w:val="32"/>
          <w:szCs w:val="32"/>
        </w:rPr>
      </w:pPr>
    </w:p>
    <w:p>
      <w:pPr>
        <w:widowControl/>
        <w:spacing w:line="560" w:lineRule="exact"/>
        <w:ind w:firstLine="645"/>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报价单位名称（盖章）：</w:t>
      </w:r>
    </w:p>
    <w:p>
      <w:pPr>
        <w:widowControl/>
        <w:spacing w:line="560" w:lineRule="exact"/>
        <w:ind w:firstLine="645"/>
        <w:rPr>
          <w:rFonts w:ascii="仿宋_GB2312" w:hAnsi="仿宋" w:eastAsia="仿宋_GB2312" w:cs="方正仿宋_GB2312"/>
          <w:kern w:val="1"/>
          <w:sz w:val="32"/>
          <w:szCs w:val="32"/>
        </w:rPr>
      </w:pPr>
    </w:p>
    <w:p>
      <w:pPr>
        <w:widowControl/>
        <w:spacing w:line="560" w:lineRule="exact"/>
        <w:ind w:firstLine="645"/>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法定代表人（或授权代理人）签章：</w:t>
      </w:r>
    </w:p>
    <w:p>
      <w:pPr>
        <w:tabs>
          <w:tab w:val="left" w:pos="1287"/>
        </w:tabs>
        <w:spacing w:line="520" w:lineRule="exact"/>
        <w:rPr>
          <w:rFonts w:ascii="黑体" w:hAnsi="黑体" w:eastAsia="黑体" w:cs="Calibri"/>
          <w:b/>
          <w:bCs/>
          <w:sz w:val="32"/>
          <w:szCs w:val="32"/>
        </w:rPr>
      </w:pPr>
    </w:p>
    <w:p>
      <w:pPr>
        <w:ind w:firstLine="420" w:firstLineChars="200"/>
        <w:rPr>
          <w:rFonts w:ascii="Calibri" w:hAnsi="Calibri" w:eastAsia="宋体" w:cs="Calibri"/>
          <w:szCs w:val="21"/>
        </w:rPr>
      </w:pPr>
    </w:p>
    <w:p>
      <w:pPr>
        <w:rPr>
          <w:rFonts w:ascii="黑体" w:hAnsi="黑体" w:eastAsia="黑体" w:cs="Calibri"/>
          <w:bCs/>
          <w:sz w:val="32"/>
          <w:szCs w:val="32"/>
        </w:rPr>
      </w:pPr>
    </w:p>
    <w:p>
      <w:pPr>
        <w:widowControl/>
        <w:shd w:val="clear" w:color="auto" w:fill="FFFFFF"/>
        <w:spacing w:line="560" w:lineRule="exact"/>
        <w:ind w:right="-30"/>
        <w:textAlignment w:val="center"/>
        <w:rPr>
          <w:rFonts w:ascii="黑体" w:hAnsi="黑体" w:eastAsia="黑体" w:cs="Calibri"/>
          <w:bCs/>
          <w:sz w:val="32"/>
          <w:szCs w:val="32"/>
        </w:rPr>
      </w:pPr>
      <w:r>
        <w:rPr>
          <w:rFonts w:hint="eastAsia" w:ascii="黑体" w:hAnsi="黑体" w:eastAsia="黑体" w:cs="Calibri"/>
          <w:bCs/>
          <w:sz w:val="32"/>
          <w:szCs w:val="32"/>
        </w:rPr>
        <w:t>附件2</w:t>
      </w:r>
    </w:p>
    <w:p>
      <w:pPr>
        <w:widowControl/>
        <w:spacing w:line="500" w:lineRule="exact"/>
        <w:jc w:val="center"/>
        <w:rPr>
          <w:rFonts w:ascii="宋体" w:hAnsi="宋体" w:eastAsia="宋体" w:cs="宋体"/>
          <w:kern w:val="0"/>
          <w:sz w:val="24"/>
          <w:szCs w:val="24"/>
        </w:rPr>
      </w:pPr>
      <w:r>
        <w:rPr>
          <w:rFonts w:ascii="宋体" w:hAnsi="宋体" w:eastAsia="宋体" w:cs="宋体"/>
          <w:kern w:val="0"/>
          <w:sz w:val="44"/>
          <w:szCs w:val="44"/>
        </w:rPr>
        <w:t>城投商管集团合作伙伴反腐败政策告知书</w:t>
      </w:r>
    </w:p>
    <w:p>
      <w:pPr>
        <w:widowControl/>
        <w:spacing w:line="500" w:lineRule="exact"/>
        <w:rPr>
          <w:rFonts w:ascii="仿宋_GB2312" w:hAnsi="仿宋_GB2312" w:eastAsia="仿宋_GB2312" w:cs="仿宋_GB2312"/>
          <w:kern w:val="0"/>
          <w:sz w:val="32"/>
          <w:szCs w:val="32"/>
        </w:rPr>
      </w:pPr>
    </w:p>
    <w:p>
      <w:pPr>
        <w:widowControl/>
        <w:spacing w:line="5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各合作伙伴：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青岛城投商业资产运营管理集团有限公司（以下简称“商管 集团”）始终坚持诚信经营，恪守商业道德，遵守所有适用的法律法规，对贿赂和腐败行为持“零容忍”态度。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商管集团要求所有合作伙伴遵守所有适用的反腐败法律法 规，遵从业界通行的道德标准，在向商管集团提供服务和履行合同义务时，或代表商管集团向商管集团客户或其他第三方提供服务和履行合同义务时，应当遵守以下行为：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1.不实施任何形式的贿赂和腐败行为。商管集团禁止任何员 工行贿和受贿，如果任何商管集团员工试图通过、协助、教唆、促使合作伙伴或与其合谋的方式进行贿赂，合作伙伴应明确拒绝并主动向商管集团举报。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2.不以任何形式贿赂商管集团员工。避免采取任何可能导致商管集团承担连带责任的不当行动等。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3.保留真实、准确和完整的账簿和记录，不在账簿和记录中 录入虚假、不准确、不完整、伪造或误导性条目。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4.合作伙伴应将商管集团的反腐败要求传递给其员工及其 合作伙伴，并定期审视。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5.配合商管集团的工作。为确保合作伙伴始终遵守法律、道 德及商管集团的反腐败要求，商管集团有权对合作伙伴进行适当 的尽职调查及实施相应的管控程序，合作伙伴应提供真实、完整、合法、有效的资料，不隐瞒任何可能对商管集团合法利益造成不 利影响的信息。</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如果任何合作伙伴未能遵守相关行为或违反有关承诺，或做 出了任何虚假或欺骗性声明、陈述或保证，或商管集团有合理理 由相信合作伙伴实施了上述行为，商管集团有权在发出书面通知 后立即暂停或终止与该合作伙伴的合作关系；同时，商管集团保 留向其追究法律责任的权利。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如果合作伙伴对本告知书有任何疑问，或者发现任何合作伙 伴或商管集团员工疑似或者已经违反所适用的反腐败法律法规、 商管集团的反腐败相关政策及要求等，请将有关情况反馈至如下 电子邮箱：ctyangsen@163.com。商管集团将对相关举报线索严 守秘密并展开调查，并确保被举报人不会对举报方进行威胁或者 打击报复。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若本政策与当地法律法规等不一致，则以其中更为严格的要 求为准。本告知书适用于各合作伙伴与商管集团及其下属直属公 司及由其负责参与、管理的日常经营业务。 </w:t>
      </w:r>
    </w:p>
    <w:p>
      <w:pPr>
        <w:widowControl/>
        <w:spacing w:line="50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承诺声明：</w:t>
      </w:r>
      <w:r>
        <w:rPr>
          <w:rFonts w:hint="eastAsia" w:ascii="仿宋_GB2312" w:hAnsi="仿宋_GB2312" w:eastAsia="仿宋_GB2312" w:cs="仿宋_GB2312"/>
          <w:kern w:val="0"/>
          <w:sz w:val="32"/>
          <w:szCs w:val="32"/>
        </w:rPr>
        <w:t xml:space="preserve">本单位对《城投商管集团合作伙伴反腐败政策 告知书》内容已知悉，承诺将严格遵守城投商管集团反腐败相关 要求，否则将承担一切不利后果。 </w:t>
      </w:r>
    </w:p>
    <w:p>
      <w:pPr>
        <w:widowControl/>
        <w:spacing w:line="500" w:lineRule="exact"/>
        <w:ind w:firstLine="640" w:firstLineChars="200"/>
        <w:rPr>
          <w:rFonts w:ascii="仿宋_GB2312" w:hAnsi="仿宋_GB2312" w:eastAsia="仿宋_GB2312" w:cs="仿宋_GB2312"/>
          <w:kern w:val="0"/>
          <w:sz w:val="32"/>
          <w:szCs w:val="32"/>
        </w:rPr>
      </w:pPr>
    </w:p>
    <w:p>
      <w:pPr>
        <w:widowControl/>
        <w:spacing w:line="500" w:lineRule="exact"/>
        <w:ind w:firstLine="640" w:firstLineChars="200"/>
        <w:rPr>
          <w:rFonts w:ascii="仿宋_GB2312" w:hAnsi="仿宋_GB2312" w:eastAsia="仿宋_GB2312" w:cs="仿宋_GB2312"/>
          <w:kern w:val="0"/>
          <w:sz w:val="32"/>
          <w:szCs w:val="32"/>
        </w:rPr>
      </w:pPr>
    </w:p>
    <w:p>
      <w:pPr>
        <w:widowControl/>
        <w:spacing w:line="500" w:lineRule="exact"/>
        <w:ind w:firstLine="2880" w:firstLineChars="9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承诺单位（公章）： </w:t>
      </w:r>
    </w:p>
    <w:p>
      <w:pPr>
        <w:widowControl/>
        <w:tabs>
          <w:tab w:val="left" w:pos="271"/>
        </w:tabs>
        <w:spacing w:line="50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法定代表人（委托代理人）：</w:t>
      </w:r>
    </w:p>
    <w:p>
      <w:pPr>
        <w:widowControl/>
        <w:tabs>
          <w:tab w:val="left" w:pos="271"/>
        </w:tabs>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tabs>
          <w:tab w:val="left" w:pos="271"/>
        </w:tabs>
        <w:spacing w:line="500" w:lineRule="exact"/>
        <w:ind w:firstLine="5440" w:firstLineChars="1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tabs>
          <w:tab w:val="left" w:pos="1287"/>
        </w:tabs>
        <w:spacing w:line="520" w:lineRule="exact"/>
        <w:rPr>
          <w:rFonts w:hint="eastAsia" w:ascii="黑体" w:hAnsi="黑体" w:eastAsia="黑体" w:cs="Calibri"/>
          <w:bCs/>
          <w:sz w:val="32"/>
          <w:szCs w:val="32"/>
        </w:rPr>
      </w:pPr>
      <w:r>
        <w:rPr>
          <w:rFonts w:hint="eastAsia" w:ascii="黑体" w:hAnsi="黑体" w:eastAsia="黑体" w:cs="Calibri"/>
          <w:bCs/>
          <w:sz w:val="32"/>
          <w:szCs w:val="32"/>
        </w:rPr>
        <w:t>附件3</w:t>
      </w:r>
    </w:p>
    <w:p>
      <w:pPr>
        <w:spacing w:line="560" w:lineRule="exact"/>
        <w:ind w:left="-120" w:leftChars="-57"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合同主要条款（甲方指采购单位，乙方指中标供应商）</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w:t>
      </w:r>
      <w:r>
        <w:rPr>
          <w:rFonts w:hint="eastAsia" w:ascii="仿宋_GB2312" w:eastAsia="仿宋_GB2312" w:cs="宋体"/>
          <w:sz w:val="32"/>
          <w:szCs w:val="32"/>
          <w:lang w:val="en-US" w:eastAsia="zh-CN"/>
        </w:rPr>
        <w:t>.</w:t>
      </w:r>
      <w:r>
        <w:rPr>
          <w:rFonts w:hint="eastAsia" w:ascii="仿宋_GB2312" w:eastAsia="仿宋_GB2312" w:cs="宋体"/>
          <w:sz w:val="32"/>
          <w:szCs w:val="32"/>
        </w:rPr>
        <w:t>货款支付</w:t>
      </w:r>
    </w:p>
    <w:p>
      <w:pPr>
        <w:spacing w:line="560" w:lineRule="exact"/>
        <w:ind w:firstLine="697" w:firstLineChars="218"/>
        <w:rPr>
          <w:rFonts w:ascii="仿宋_GB2312" w:eastAsia="仿宋_GB2312" w:cs="宋体"/>
          <w:sz w:val="32"/>
          <w:szCs w:val="32"/>
        </w:rPr>
      </w:pPr>
      <w:r>
        <w:rPr>
          <w:rFonts w:hint="eastAsia" w:ascii="仿宋_GB2312" w:eastAsia="仿宋_GB2312" w:cs="宋体"/>
          <w:sz w:val="32"/>
          <w:szCs w:val="32"/>
        </w:rPr>
        <w:t>（1）在合同签订</w:t>
      </w:r>
      <w:r>
        <w:rPr>
          <w:rFonts w:hint="eastAsia" w:ascii="仿宋_GB2312" w:eastAsia="仿宋_GB2312" w:cs="宋体"/>
          <w:sz w:val="32"/>
          <w:szCs w:val="32"/>
          <w:lang w:eastAsia="zh-CN"/>
        </w:rPr>
        <w:t>、</w:t>
      </w:r>
      <w:r>
        <w:rPr>
          <w:rFonts w:hint="eastAsia" w:ascii="仿宋_GB2312" w:eastAsia="仿宋_GB2312" w:cs="宋体"/>
          <w:sz w:val="32"/>
          <w:szCs w:val="32"/>
        </w:rPr>
        <w:t>项目实施完成</w:t>
      </w:r>
      <w:r>
        <w:rPr>
          <w:rFonts w:hint="eastAsia" w:ascii="仿宋_GB2312" w:eastAsia="仿宋_GB2312" w:cs="宋体"/>
          <w:sz w:val="32"/>
          <w:szCs w:val="32"/>
          <w:lang w:eastAsia="zh-CN"/>
        </w:rPr>
        <w:t>、</w:t>
      </w:r>
      <w:r>
        <w:rPr>
          <w:rFonts w:hint="eastAsia" w:ascii="仿宋_GB2312" w:eastAsia="仿宋_GB2312" w:cs="宋体"/>
          <w:sz w:val="32"/>
          <w:szCs w:val="32"/>
        </w:rPr>
        <w:t>甲方验收合格</w:t>
      </w:r>
      <w:r>
        <w:rPr>
          <w:rFonts w:hint="eastAsia" w:ascii="仿宋_GB2312" w:eastAsia="仿宋_GB2312" w:cs="宋体"/>
          <w:sz w:val="32"/>
          <w:szCs w:val="32"/>
          <w:lang w:val="en-US" w:eastAsia="zh-CN"/>
        </w:rPr>
        <w:t>并</w:t>
      </w:r>
      <w:r>
        <w:rPr>
          <w:rFonts w:hint="eastAsia" w:ascii="仿宋_GB2312" w:eastAsia="仿宋_GB2312" w:cs="宋体"/>
          <w:sz w:val="32"/>
          <w:szCs w:val="32"/>
        </w:rPr>
        <w:t>收到乙方开具合同总金额100%的发票后，十五个工作日内，甲方向乙方支付合同总金额的95%。</w:t>
      </w:r>
    </w:p>
    <w:p>
      <w:pPr>
        <w:spacing w:line="560" w:lineRule="exact"/>
        <w:ind w:firstLine="697" w:firstLineChars="218"/>
        <w:rPr>
          <w:rFonts w:ascii="仿宋_GB2312" w:eastAsia="仿宋_GB2312" w:cs="宋体"/>
          <w:sz w:val="32"/>
          <w:szCs w:val="32"/>
        </w:rPr>
      </w:pPr>
      <w:r>
        <w:rPr>
          <w:rFonts w:hint="eastAsia" w:ascii="仿宋_GB2312" w:eastAsia="仿宋_GB2312" w:cs="宋体"/>
          <w:sz w:val="32"/>
          <w:szCs w:val="32"/>
        </w:rPr>
        <w:t>（2）预留5%合同总金额作为</w:t>
      </w:r>
      <w:r>
        <w:rPr>
          <w:rFonts w:hint="eastAsia" w:ascii="仿宋_GB2312" w:eastAsia="仿宋_GB2312" w:cs="宋体"/>
          <w:sz w:val="32"/>
          <w:szCs w:val="32"/>
          <w:lang w:eastAsia="zh-CN"/>
        </w:rPr>
        <w:t>质保金</w:t>
      </w:r>
      <w:r>
        <w:rPr>
          <w:rFonts w:hint="eastAsia" w:ascii="仿宋_GB2312" w:eastAsia="仿宋_GB2312" w:cs="宋体"/>
          <w:sz w:val="32"/>
          <w:szCs w:val="32"/>
        </w:rPr>
        <w:t>，若无产品质量问题，质保期满</w:t>
      </w:r>
      <w:r>
        <w:rPr>
          <w:rFonts w:hint="eastAsia" w:ascii="仿宋_GB2312" w:eastAsia="仿宋_GB2312" w:cs="宋体"/>
          <w:sz w:val="32"/>
          <w:szCs w:val="32"/>
          <w:lang w:eastAsia="zh-CN"/>
        </w:rPr>
        <w:t>2年</w:t>
      </w:r>
      <w:r>
        <w:rPr>
          <w:rFonts w:hint="eastAsia" w:ascii="仿宋_GB2312" w:eastAsia="仿宋_GB2312" w:cs="宋体"/>
          <w:sz w:val="32"/>
          <w:szCs w:val="32"/>
        </w:rPr>
        <w:t>后甲方收到乙方付款申请后</w:t>
      </w:r>
      <w:r>
        <w:rPr>
          <w:rFonts w:hint="eastAsia" w:ascii="仿宋_GB2312" w:eastAsia="仿宋_GB2312" w:cs="宋体"/>
          <w:sz w:val="32"/>
          <w:szCs w:val="32"/>
          <w:lang w:val="en-US" w:eastAsia="zh-CN"/>
        </w:rPr>
        <w:t>15</w:t>
      </w:r>
      <w:r>
        <w:rPr>
          <w:rFonts w:hint="eastAsia" w:ascii="仿宋_GB2312" w:eastAsia="仿宋_GB2312" w:cs="宋体"/>
          <w:sz w:val="32"/>
          <w:szCs w:val="32"/>
        </w:rPr>
        <w:t>个工作日内，向乙方无息支付合同总金额的5%质保金。</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（3）达到付款条件后，乙方需开具增值税专用发票，随同支持资料一同提交甲方，相关资料经甲方审核无误后办理付款。甲方付款方式可采用支票、电汇</w:t>
      </w:r>
      <w:r>
        <w:rPr>
          <w:rFonts w:hint="eastAsia" w:ascii="仿宋_GB2312" w:eastAsia="仿宋_GB2312" w:cs="宋体"/>
          <w:sz w:val="32"/>
          <w:szCs w:val="32"/>
          <w:lang w:val="en-US" w:eastAsia="zh-CN"/>
        </w:rPr>
        <w:t>等方式</w:t>
      </w:r>
      <w:r>
        <w:rPr>
          <w:rFonts w:hint="eastAsia" w:ascii="仿宋_GB2312" w:eastAsia="仿宋_GB2312" w:cs="宋体"/>
          <w:sz w:val="32"/>
          <w:szCs w:val="32"/>
        </w:rPr>
        <w:t>。乙方未开具发票或开具发票不合格的，甲方付款期限相应顺延且不构成违约。</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2.</w:t>
      </w:r>
      <w:r>
        <w:rPr>
          <w:rFonts w:hint="eastAsia" w:ascii="仿宋_GB2312" w:eastAsia="仿宋_GB2312" w:cs="宋体"/>
          <w:sz w:val="32"/>
          <w:szCs w:val="32"/>
        </w:rPr>
        <w:t xml:space="preserve"> 调试</w:t>
      </w:r>
    </w:p>
    <w:p>
      <w:pPr>
        <w:spacing w:line="560" w:lineRule="exact"/>
        <w:ind w:firstLine="640" w:firstLineChars="200"/>
        <w:rPr>
          <w:rFonts w:hint="eastAsia" w:ascii="仿宋_GB2312" w:hAnsi="仿宋" w:eastAsia="仿宋_GB2312"/>
          <w:sz w:val="32"/>
          <w:szCs w:val="32"/>
        </w:rPr>
      </w:pPr>
      <w:r>
        <w:rPr>
          <w:rFonts w:hint="eastAsia" w:ascii="仿宋_GB2312" w:eastAsia="仿宋_GB2312" w:cs="宋体"/>
          <w:sz w:val="32"/>
          <w:szCs w:val="32"/>
        </w:rPr>
        <w:t>（1）</w:t>
      </w:r>
      <w:r>
        <w:rPr>
          <w:rFonts w:hint="eastAsia" w:ascii="仿宋_GB2312" w:hAnsi="仿宋" w:eastAsia="仿宋_GB2312"/>
          <w:sz w:val="32"/>
          <w:szCs w:val="32"/>
        </w:rPr>
        <w:t>自合同签订</w:t>
      </w:r>
      <w:r>
        <w:rPr>
          <w:rFonts w:hint="eastAsia" w:ascii="仿宋_GB2312" w:hAnsi="仿宋" w:eastAsia="仿宋_GB2312"/>
          <w:sz w:val="32"/>
          <w:szCs w:val="32"/>
          <w:lang w:val="en-US" w:eastAsia="zh-CN"/>
        </w:rPr>
        <w:t>后按照采购单位要求</w:t>
      </w:r>
      <w:r>
        <w:rPr>
          <w:rFonts w:hint="eastAsia" w:ascii="仿宋_GB2312" w:hAnsi="仿宋" w:eastAsia="仿宋_GB2312"/>
          <w:sz w:val="32"/>
          <w:szCs w:val="32"/>
        </w:rPr>
        <w:t>完成</w:t>
      </w:r>
      <w:r>
        <w:rPr>
          <w:rFonts w:hint="eastAsia" w:ascii="仿宋_GB2312" w:hAnsi="仿宋" w:eastAsia="仿宋_GB2312"/>
          <w:sz w:val="32"/>
          <w:szCs w:val="32"/>
          <w:lang w:val="en-US" w:eastAsia="zh-CN"/>
        </w:rPr>
        <w:t>调试</w:t>
      </w:r>
      <w:r>
        <w:rPr>
          <w:rFonts w:hint="eastAsia" w:ascii="仿宋_GB2312" w:hAnsi="仿宋" w:eastAsia="仿宋_GB2312"/>
          <w:sz w:val="32"/>
          <w:szCs w:val="32"/>
        </w:rPr>
        <w:t>。</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乙方完成系统调试后，乙方将向甲方提供书面验收申请及相关资料。甲方应在乙方提交书面验收申请之日起7个工作日（以下简称“验收期”）内完成对乙方提供的所有资料及现场情况的检查确认并签署验收报告。如有整改需求的，应在验收期内以书面方式提出，未在该期限内提出的视为验收合格。检验标准完全符合本合同规定的质量、规格和性能。</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（3）乙方负责系统调试以及操作人员培训，并制定详细的培训计划，使操作人员能独立进行管理、操作、维护和故障处理等工作，做好相关记录及技术文档收集整理，待验收合格后移交给</w:t>
      </w:r>
      <w:r>
        <w:rPr>
          <w:rFonts w:hint="eastAsia" w:ascii="仿宋_GB2312" w:eastAsia="仿宋_GB2312" w:cs="宋体"/>
          <w:sz w:val="32"/>
          <w:szCs w:val="32"/>
          <w:lang w:val="en-US" w:eastAsia="zh-CN"/>
        </w:rPr>
        <w:t>3.</w:t>
      </w:r>
      <w:r>
        <w:rPr>
          <w:rFonts w:hint="eastAsia" w:ascii="仿宋_GB2312" w:eastAsia="仿宋_GB2312" w:cs="宋体"/>
          <w:sz w:val="32"/>
          <w:szCs w:val="32"/>
        </w:rPr>
        <w:t xml:space="preserve"> 验收及交接</w:t>
      </w:r>
    </w:p>
    <w:p>
      <w:pPr>
        <w:tabs>
          <w:tab w:val="left" w:pos="1287"/>
        </w:tabs>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货物运抵指定地点后，甲方对采购货物进行全面验收。如发现货物和规格或者两者都与合同不符，甲方有权限根据检验结果要求乙方立即更换或者提出索赔要求。此检验仅为初步验收，并不免除乙方应承担的质量保修责任。验收时乙方须提供采购货物明细、货物检验报告、出厂合格证明等资料。若上述资料不完整，甲方可拒绝验收。</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4.</w:t>
      </w:r>
      <w:r>
        <w:rPr>
          <w:rFonts w:hint="eastAsia" w:ascii="仿宋_GB2312" w:eastAsia="仿宋_GB2312" w:cs="宋体"/>
          <w:sz w:val="32"/>
          <w:szCs w:val="32"/>
        </w:rPr>
        <w:t>成品保护：</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（1）乙方应负责货物的保护和清洁工作直至全部验收合格为止。</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w:t>
      </w:r>
      <w:r>
        <w:rPr>
          <w:rFonts w:ascii="仿宋_GB2312" w:eastAsia="仿宋_GB2312" w:cs="宋体"/>
          <w:sz w:val="32"/>
          <w:szCs w:val="32"/>
        </w:rPr>
        <w:t>2</w:t>
      </w:r>
      <w:r>
        <w:rPr>
          <w:rFonts w:hint="eastAsia" w:ascii="仿宋_GB2312" w:eastAsia="仿宋_GB2312" w:cs="宋体"/>
          <w:sz w:val="32"/>
          <w:szCs w:val="32"/>
        </w:rPr>
        <w:t>）乙方应负责货物的保管，直到经甲方检查、测试、验收最终书面接受为止。</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w:t>
      </w:r>
      <w:r>
        <w:rPr>
          <w:rFonts w:ascii="仿宋_GB2312" w:eastAsia="仿宋_GB2312" w:cs="宋体"/>
          <w:sz w:val="32"/>
          <w:szCs w:val="32"/>
        </w:rPr>
        <w:t>3</w:t>
      </w:r>
      <w:r>
        <w:rPr>
          <w:rFonts w:hint="eastAsia" w:ascii="仿宋_GB2312" w:eastAsia="仿宋_GB2312" w:cs="宋体"/>
          <w:sz w:val="32"/>
          <w:szCs w:val="32"/>
        </w:rPr>
        <w:t>）所有从制造商处运抵收货地点的货物应保持原包装。</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5.</w:t>
      </w:r>
      <w:r>
        <w:rPr>
          <w:rFonts w:hint="eastAsia" w:ascii="仿宋_GB2312" w:eastAsia="仿宋_GB2312" w:cs="宋体"/>
          <w:sz w:val="32"/>
          <w:szCs w:val="32"/>
        </w:rPr>
        <w:t>售后服务及承诺</w:t>
      </w:r>
    </w:p>
    <w:p>
      <w:pPr>
        <w:spacing w:line="560" w:lineRule="exact"/>
        <w:ind w:firstLine="640" w:firstLineChars="200"/>
        <w:rPr>
          <w:rFonts w:hint="default" w:ascii="仿宋_GB2312" w:eastAsia="仿宋_GB2312" w:cs="宋体"/>
          <w:sz w:val="32"/>
          <w:szCs w:val="32"/>
          <w:lang w:val="en-US" w:eastAsia="zh-CN"/>
        </w:rPr>
      </w:pPr>
      <w:r>
        <w:rPr>
          <w:rFonts w:hint="eastAsia" w:ascii="仿宋_GB2312" w:eastAsia="仿宋_GB2312" w:cs="宋体"/>
          <w:sz w:val="32"/>
          <w:szCs w:val="32"/>
        </w:rPr>
        <w:t>乙方有完善的服务体系，有能力提供持续的、本地化售后服务。乙方应提供及时周到的售后服务，应保证每半年至少一次上门回访、检修。</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6.</w:t>
      </w:r>
      <w:r>
        <w:rPr>
          <w:rFonts w:hint="eastAsia" w:ascii="仿宋_GB2312" w:eastAsia="仿宋_GB2312" w:cs="宋体"/>
          <w:sz w:val="32"/>
          <w:szCs w:val="32"/>
        </w:rPr>
        <w:t>质量保证期</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（1）质保期：自最终验收合格之日起</w:t>
      </w:r>
      <w:r>
        <w:rPr>
          <w:rFonts w:hint="eastAsia" w:ascii="仿宋_GB2312" w:eastAsia="仿宋_GB2312" w:cs="宋体"/>
          <w:sz w:val="32"/>
          <w:szCs w:val="32"/>
          <w:lang w:val="en-US" w:eastAsia="zh-CN"/>
        </w:rPr>
        <w:t>2</w:t>
      </w:r>
      <w:r>
        <w:rPr>
          <w:rFonts w:hint="eastAsia" w:ascii="仿宋_GB2312" w:eastAsia="仿宋_GB2312" w:cs="宋体"/>
          <w:sz w:val="32"/>
          <w:szCs w:val="32"/>
        </w:rPr>
        <w:t>年</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质保期内</w:t>
      </w:r>
      <w:r>
        <w:rPr>
          <w:rFonts w:hint="eastAsia" w:ascii="仿宋_GB2312" w:eastAsia="仿宋_GB2312" w:cs="宋体"/>
          <w:sz w:val="32"/>
          <w:szCs w:val="32"/>
        </w:rPr>
        <w:t>备品备件免费更换</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滤芯除外</w:t>
      </w:r>
      <w:r>
        <w:rPr>
          <w:rFonts w:hint="eastAsia" w:ascii="仿宋_GB2312" w:eastAsia="仿宋_GB2312" w:cs="宋体"/>
          <w:sz w:val="32"/>
          <w:szCs w:val="32"/>
          <w:lang w:eastAsia="zh-CN"/>
        </w:rPr>
        <w:t>）</w:t>
      </w:r>
      <w:r>
        <w:rPr>
          <w:rFonts w:hint="eastAsia" w:ascii="仿宋_GB2312" w:eastAsia="仿宋_GB2312" w:cs="宋体"/>
          <w:sz w:val="32"/>
          <w:szCs w:val="32"/>
        </w:rPr>
        <w:t>，非人为原因引起的设备损坏由乙方提供免费维修（包括材料费及人工费）；乙方提供免费上门服务，即使进行维修、备品备件更换等服务</w:t>
      </w:r>
      <w:r>
        <w:rPr>
          <w:rFonts w:hint="eastAsia" w:ascii="仿宋_GB2312" w:eastAsia="仿宋_GB2312" w:cs="宋体"/>
          <w:sz w:val="32"/>
          <w:szCs w:val="32"/>
          <w:lang w:val="en-US" w:eastAsia="zh-CN"/>
        </w:rPr>
        <w:t>也</w:t>
      </w:r>
      <w:r>
        <w:rPr>
          <w:rFonts w:hint="eastAsia" w:ascii="仿宋_GB2312" w:eastAsia="仿宋_GB2312" w:cs="宋体"/>
          <w:sz w:val="32"/>
          <w:szCs w:val="32"/>
        </w:rPr>
        <w:t>不再收取任何费用。如需停机返厂维修，需提供临时替换设备并免费。</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（2）质量保证期内，如果</w:t>
      </w:r>
      <w:r>
        <w:rPr>
          <w:rFonts w:hint="eastAsia" w:ascii="仿宋_GB2312" w:eastAsia="仿宋_GB2312" w:cs="宋体"/>
          <w:sz w:val="32"/>
          <w:szCs w:val="32"/>
          <w:lang w:val="en-US" w:eastAsia="zh-CN"/>
        </w:rPr>
        <w:t>甲方发现产品</w:t>
      </w:r>
      <w:r>
        <w:rPr>
          <w:rFonts w:hint="eastAsia" w:ascii="仿宋_GB2312" w:eastAsia="仿宋_GB2312" w:cs="宋体"/>
          <w:sz w:val="32"/>
          <w:szCs w:val="32"/>
        </w:rPr>
        <w:t>缺陷</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故障、不达净化要求等质量问题</w:t>
      </w:r>
      <w:r>
        <w:rPr>
          <w:rFonts w:hint="eastAsia" w:ascii="仿宋_GB2312" w:eastAsia="仿宋_GB2312" w:cs="宋体"/>
          <w:sz w:val="32"/>
          <w:szCs w:val="32"/>
        </w:rPr>
        <w:t>，包括潜在的缺陷或者使用不符合要求的材料等，乙方应立即免费维修或者更换有缺陷的货物或者部件，保证达到合同规定的技术以及性能要求。该项货物的质保期相应从货物缺陷维修完毕或更换符合要求的货物后重新计算。如果乙方在收到通知后5天内没有</w:t>
      </w:r>
      <w:r>
        <w:rPr>
          <w:rFonts w:hint="eastAsia" w:ascii="仿宋_GB2312" w:eastAsia="仿宋_GB2312" w:cs="宋体"/>
          <w:sz w:val="32"/>
          <w:szCs w:val="32"/>
          <w:lang w:val="en-US" w:eastAsia="zh-CN"/>
        </w:rPr>
        <w:t>采取</w:t>
      </w:r>
      <w:r>
        <w:rPr>
          <w:rFonts w:hint="eastAsia" w:ascii="仿宋_GB2312" w:eastAsia="仿宋_GB2312" w:cs="宋体"/>
          <w:sz w:val="32"/>
          <w:szCs w:val="32"/>
        </w:rPr>
        <w:t>弥补缺陷</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进行维修等措施</w:t>
      </w:r>
      <w:r>
        <w:rPr>
          <w:rFonts w:hint="eastAsia" w:ascii="仿宋_GB2312" w:eastAsia="仿宋_GB2312" w:cs="宋体"/>
          <w:sz w:val="32"/>
          <w:szCs w:val="32"/>
        </w:rPr>
        <w:t>，甲方可自行采取必要的补救措施，但风险和费用全部由乙方承担，</w:t>
      </w:r>
      <w:r>
        <w:rPr>
          <w:rFonts w:hint="eastAsia" w:ascii="仿宋_GB2312" w:eastAsia="仿宋_GB2312" w:cs="宋体"/>
          <w:sz w:val="32"/>
          <w:szCs w:val="32"/>
          <w:lang w:val="en-US" w:eastAsia="zh-CN"/>
        </w:rPr>
        <w:t>同时</w:t>
      </w:r>
      <w:r>
        <w:rPr>
          <w:rFonts w:hint="eastAsia" w:ascii="仿宋_GB2312" w:eastAsia="仿宋_GB2312" w:cs="宋体"/>
          <w:sz w:val="32"/>
          <w:szCs w:val="32"/>
        </w:rPr>
        <w:t>甲方</w:t>
      </w:r>
      <w:r>
        <w:rPr>
          <w:rFonts w:hint="eastAsia" w:ascii="仿宋_GB2312" w:eastAsia="仿宋_GB2312" w:cs="宋体"/>
          <w:sz w:val="32"/>
          <w:szCs w:val="32"/>
          <w:lang w:val="en-US" w:eastAsia="zh-CN"/>
        </w:rPr>
        <w:t>有权要求乙方退货退款。如前述质量问题发生比例达到货物总数三分之一时，甲方有权以书面通知形式解除合同，要求乙方退还全部货款，如给甲方或其他第三方造成损失的，乙方还应承担全部赔偿责任。</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7.</w:t>
      </w:r>
      <w:r>
        <w:rPr>
          <w:rFonts w:hint="eastAsia" w:ascii="仿宋_GB2312" w:eastAsia="仿宋_GB2312" w:cs="宋体"/>
          <w:sz w:val="32"/>
          <w:szCs w:val="32"/>
        </w:rPr>
        <w:t>甲方责任</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（1）及时地按照合同约定办理付款手续。</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（2）负责提供工作场地，协助乙方进行系统、调试和数据收集。</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（3）对合同条款及所知悉的乙方商业秘密负有保密义务。</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8.</w:t>
      </w:r>
      <w:r>
        <w:rPr>
          <w:rFonts w:hint="eastAsia" w:ascii="仿宋_GB2312" w:eastAsia="仿宋_GB2312" w:cs="宋体"/>
          <w:sz w:val="32"/>
          <w:szCs w:val="32"/>
        </w:rPr>
        <w:t>乙方责任</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保证所供设备均为报价文件承诺的设备，符合相关质量检测标准，具有该产品的出厂技术和质量标准或合格证,保证其全部部件为全新未使用的。支持7×24小时现场维护服务和电话支持服务，提供故障报修热线服务联系电话。采购单位报障后（包括但不限于电话、短信、邮件等方式），</w:t>
      </w:r>
      <w:r>
        <w:rPr>
          <w:rFonts w:hint="eastAsia" w:ascii="仿宋_GB2312" w:hAnsi="宋体" w:eastAsia="仿宋_GB2312" w:cs="仿宋_GB2312"/>
          <w:color w:val="000000"/>
          <w:sz w:val="31"/>
          <w:szCs w:val="31"/>
          <w:shd w:val="clear" w:color="auto" w:fill="FFFFFF"/>
        </w:rPr>
        <w:t>通知1小时内做出响应，2小时内到达现场，12小时维修完毕，规定时间内未解决处理需提供备用机使用。听从现场工作人员的安排，注意维护办公秩序，保密。</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（2）保证设备的售后服务，严格依据报价文件及相关承诺，对设备及系统进行保修、维护等服务。</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（3）保证其所供设备不存在侵犯第三方知识产权的行为，否则由此产生的损失由乙方承担。</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w:t>
      </w:r>
      <w:r>
        <w:rPr>
          <w:rFonts w:hint="eastAsia" w:ascii="仿宋_GB2312" w:eastAsia="仿宋_GB2312" w:cs="宋体"/>
          <w:sz w:val="32"/>
          <w:szCs w:val="32"/>
          <w:lang w:val="en-US" w:eastAsia="zh-CN"/>
        </w:rPr>
        <w:t>4</w:t>
      </w:r>
      <w:r>
        <w:rPr>
          <w:rFonts w:hint="eastAsia" w:ascii="仿宋_GB2312" w:eastAsia="仿宋_GB2312" w:cs="宋体"/>
          <w:sz w:val="32"/>
          <w:szCs w:val="32"/>
        </w:rPr>
        <w:t>）乙方需准备备用机，如果出现短时间无法修复的故障或问题，及时更换备用机保证甲方正常使用</w:t>
      </w:r>
      <w:r>
        <w:rPr>
          <w:rFonts w:hint="eastAsia" w:ascii="仿宋_GB2312" w:eastAsia="仿宋_GB2312" w:cs="宋体"/>
          <w:sz w:val="32"/>
          <w:szCs w:val="32"/>
          <w:lang w:eastAsia="zh-CN"/>
        </w:rPr>
        <w:t>空气净化器</w:t>
      </w:r>
      <w:r>
        <w:rPr>
          <w:rFonts w:hint="eastAsia" w:ascii="仿宋_GB2312" w:eastAsia="仿宋_GB2312" w:cs="宋体"/>
          <w:sz w:val="32"/>
          <w:szCs w:val="32"/>
        </w:rPr>
        <w:t>,甲方需提供备用机以及备品备件存放维修间，甲方仅对备品配件及备用机提供存放间，不负有保管义务。</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lang w:val="en-US" w:eastAsia="zh-CN"/>
        </w:rPr>
        <w:t>9.</w:t>
      </w:r>
      <w:r>
        <w:rPr>
          <w:rFonts w:hint="eastAsia" w:ascii="仿宋_GB2312" w:eastAsia="仿宋_GB2312" w:cs="宋体"/>
          <w:sz w:val="32"/>
          <w:szCs w:val="32"/>
        </w:rPr>
        <w:t>违约责任</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（1）甲乙双方任意一方无故终止合同或因任何一方违约导致本合同被解除的，违约方应当按照合同总金额的10％向守约方支付违约金。</w:t>
      </w:r>
    </w:p>
    <w:p>
      <w:pPr>
        <w:spacing w:line="560" w:lineRule="exact"/>
        <w:ind w:firstLine="697" w:firstLineChars="218"/>
        <w:rPr>
          <w:rFonts w:ascii="仿宋_GB2312" w:eastAsia="仿宋_GB2312" w:cs="宋体"/>
          <w:sz w:val="32"/>
          <w:szCs w:val="32"/>
        </w:rPr>
      </w:pPr>
      <w:r>
        <w:rPr>
          <w:rFonts w:hint="eastAsia" w:ascii="仿宋_GB2312" w:eastAsia="仿宋_GB2312" w:cs="宋体"/>
          <w:sz w:val="32"/>
          <w:szCs w:val="32"/>
        </w:rPr>
        <w:t>（2）乙方逾期完成供货设备的，每逾1日乙方向甲方支付合同总金额3‰的滞纳金。逾期交货超过</w:t>
      </w:r>
      <w:r>
        <w:rPr>
          <w:rFonts w:ascii="仿宋_GB2312" w:eastAsia="仿宋_GB2312" w:cs="宋体"/>
          <w:sz w:val="32"/>
          <w:szCs w:val="32"/>
        </w:rPr>
        <w:t>20</w:t>
      </w:r>
      <w:r>
        <w:rPr>
          <w:rFonts w:hint="eastAsia" w:ascii="仿宋_GB2312" w:eastAsia="仿宋_GB2312" w:cs="宋体"/>
          <w:sz w:val="32"/>
          <w:szCs w:val="32"/>
        </w:rPr>
        <w:t>日的，甲方有权决定是否继续履行合同，如甲方决定终止履行合同的，乙方应按照合同总金额的</w:t>
      </w:r>
      <w:r>
        <w:rPr>
          <w:rFonts w:ascii="仿宋_GB2312" w:eastAsia="仿宋_GB2312" w:cs="宋体"/>
          <w:sz w:val="32"/>
          <w:szCs w:val="32"/>
        </w:rPr>
        <w:t>3</w:t>
      </w:r>
      <w:r>
        <w:rPr>
          <w:rFonts w:hint="eastAsia" w:ascii="仿宋_GB2312" w:eastAsia="仿宋_GB2312" w:cs="宋体"/>
          <w:sz w:val="32"/>
          <w:szCs w:val="32"/>
        </w:rPr>
        <w:t>0%向甲方支付违约金。</w:t>
      </w:r>
    </w:p>
    <w:p>
      <w:pPr>
        <w:spacing w:line="560" w:lineRule="exact"/>
        <w:ind w:firstLine="697" w:firstLineChars="218"/>
        <w:rPr>
          <w:rFonts w:ascii="仿宋_GB2312" w:eastAsia="仿宋_GB2312" w:cs="宋体"/>
          <w:sz w:val="32"/>
          <w:szCs w:val="32"/>
        </w:rPr>
      </w:pPr>
      <w:r>
        <w:rPr>
          <w:rFonts w:hint="eastAsia" w:ascii="仿宋_GB2312" w:eastAsia="仿宋_GB2312" w:cs="宋体"/>
          <w:sz w:val="32"/>
          <w:szCs w:val="32"/>
        </w:rPr>
        <w:t>（3）乙方所供设备品牌、规格型号、质量等不符合项目质量要求和技术标准约定的，甲方有权拒收并且有权终止合同，同时由乙方向甲方支付合同总金额10%的违约金，如果违约金不足以支付甲方所受损失的，甲方有权要求其赔偿。甲方收货后，发现所供设备存在质量瑕疵的，甲方可以据此拒付货款，直至质量问题解决为止。</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4）在质保期内产品出现质量问题，乙方如不能在规定时间内修好的，甲方有权选择以书面通知形式单方解除合同或要求乙方免费提供备品备件，或由甲方另请第三方解决，由此产生的费用由乙方承担，甲方有权从质保金中扣除相关费用，质保金不足以支付甲方损失的，不足部分乙方应另行向甲方补足。甲方选择以书面通知形式单方解除合同的，乙方应在甲方通知的期限内取回设备设施，将甲方场地恢复原状，并退还甲方已经支付的全部款项，给甲方造成其他损失的乙方应予以全部赔偿。合同解除后如乙方未在甲方通知的期限内取回设备设施，则视为乙方放弃甲方处设备设施的所有权，甲方可自行处理并将场地恢复原状，甲方为此所支付的费用由乙方承担。</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5）如果乙方提供的货物侵犯任何第三方的合法权利，乙方应当按照合同总价款的20％向甲方支付违约金，同时甲方有权单方解除本合同并有权要求乙方返还全部货款。对于因货物侵犯第三方合法权利而产生的法律纠纷，由乙方负责处理并承担所有侵权责任。如果因此</w:t>
      </w:r>
      <w:r>
        <w:rPr>
          <w:rFonts w:hint="eastAsia" w:ascii="仿宋_GB2312" w:eastAsia="仿宋_GB2312" w:cs="宋体"/>
          <w:sz w:val="32"/>
          <w:szCs w:val="32"/>
          <w:lang w:val="en-US" w:eastAsia="zh-CN"/>
        </w:rPr>
        <w:t>导致</w:t>
      </w:r>
      <w:r>
        <w:rPr>
          <w:rFonts w:hint="eastAsia" w:ascii="仿宋_GB2312" w:eastAsia="仿宋_GB2312" w:cs="宋体"/>
          <w:sz w:val="32"/>
          <w:szCs w:val="32"/>
        </w:rPr>
        <w:t>甲方承担责任，甲方有权向乙方追偿，乙方应当赔偿因以上侵权而给甲方造成的所有损失并承担甲方为处理以上纠纷而产生的所有费用（包括但不限于诉讼费、律师费、调查取证费、差旅费等）。</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（6）如乙方所供货物三分之一及以上产品质量不合格的，甲方有权解除本合同，同时乙方应当按照本条第</w:t>
      </w:r>
      <w:r>
        <w:rPr>
          <w:rFonts w:hint="eastAsia" w:ascii="仿宋_GB2312" w:eastAsia="仿宋_GB2312" w:cs="宋体"/>
          <w:sz w:val="32"/>
          <w:szCs w:val="32"/>
          <w:lang w:eastAsia="zh-CN"/>
        </w:rPr>
        <w:t>（</w:t>
      </w:r>
      <w:r>
        <w:rPr>
          <w:rFonts w:hint="eastAsia" w:ascii="仿宋_GB2312" w:eastAsia="仿宋_GB2312" w:cs="宋体"/>
          <w:sz w:val="32"/>
          <w:szCs w:val="32"/>
        </w:rPr>
        <w:t>1</w:t>
      </w:r>
      <w:r>
        <w:rPr>
          <w:rFonts w:hint="eastAsia" w:ascii="仿宋_GB2312" w:eastAsia="仿宋_GB2312" w:cs="宋体"/>
          <w:sz w:val="32"/>
          <w:szCs w:val="32"/>
          <w:lang w:eastAsia="zh-CN"/>
        </w:rPr>
        <w:t>）</w:t>
      </w:r>
      <w:r>
        <w:rPr>
          <w:rFonts w:hint="eastAsia" w:ascii="仿宋_GB2312" w:eastAsia="仿宋_GB2312" w:cs="宋体"/>
          <w:sz w:val="32"/>
          <w:szCs w:val="32"/>
        </w:rPr>
        <w:t>款、第</w:t>
      </w:r>
      <w:r>
        <w:rPr>
          <w:rFonts w:hint="eastAsia" w:ascii="仿宋_GB2312" w:eastAsia="仿宋_GB2312" w:cs="宋体"/>
          <w:sz w:val="32"/>
          <w:szCs w:val="32"/>
          <w:lang w:eastAsia="zh-CN"/>
        </w:rPr>
        <w:t>（</w:t>
      </w:r>
      <w:r>
        <w:rPr>
          <w:rFonts w:hint="eastAsia" w:ascii="仿宋_GB2312" w:eastAsia="仿宋_GB2312" w:cs="宋体"/>
          <w:sz w:val="32"/>
          <w:szCs w:val="32"/>
        </w:rPr>
        <w:t>4</w:t>
      </w:r>
      <w:r>
        <w:rPr>
          <w:rFonts w:hint="eastAsia" w:ascii="仿宋_GB2312" w:eastAsia="仿宋_GB2312" w:cs="宋体"/>
          <w:sz w:val="32"/>
          <w:szCs w:val="32"/>
          <w:lang w:eastAsia="zh-CN"/>
        </w:rPr>
        <w:t>）</w:t>
      </w:r>
      <w:r>
        <w:rPr>
          <w:rFonts w:hint="eastAsia" w:ascii="仿宋_GB2312" w:eastAsia="仿宋_GB2312" w:cs="宋体"/>
          <w:sz w:val="32"/>
          <w:szCs w:val="32"/>
        </w:rPr>
        <w:t>款承担违约责任。</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（7）甲方不按合同约定时间支付货款的，乙方有权停止交货；超过60天的，乙方有权解除本合同，并有权处理余下未交付货物及要求甲方按照本条第</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1</w:t>
      </w:r>
      <w:r>
        <w:rPr>
          <w:rFonts w:hint="eastAsia" w:ascii="仿宋_GB2312" w:eastAsia="仿宋_GB2312" w:cs="宋体"/>
          <w:sz w:val="32"/>
          <w:szCs w:val="32"/>
          <w:lang w:eastAsia="zh-CN"/>
        </w:rPr>
        <w:t>）</w:t>
      </w:r>
      <w:r>
        <w:rPr>
          <w:rFonts w:hint="eastAsia" w:ascii="仿宋_GB2312" w:eastAsia="仿宋_GB2312" w:cs="宋体"/>
          <w:sz w:val="32"/>
          <w:szCs w:val="32"/>
        </w:rPr>
        <w:t>款承担违约责任。</w:t>
      </w:r>
    </w:p>
    <w:p>
      <w:pPr>
        <w:spacing w:line="560" w:lineRule="exact"/>
        <w:ind w:firstLine="640" w:firstLineChars="200"/>
        <w:rPr>
          <w:rFonts w:hint="eastAsia" w:ascii="仿宋_GB2312" w:eastAsia="仿宋_GB2312" w:cs="宋体"/>
          <w:sz w:val="32"/>
          <w:szCs w:val="32"/>
        </w:rPr>
      </w:pPr>
      <w:r>
        <w:rPr>
          <w:rFonts w:hint="eastAsia" w:ascii="仿宋_GB2312" w:eastAsia="仿宋_GB2312" w:cs="宋体"/>
          <w:sz w:val="32"/>
          <w:szCs w:val="32"/>
        </w:rPr>
        <w:t>（8）乙方所有货物验收完毕，并已交付甲方使用，甲方未能按照</w:t>
      </w:r>
      <w:r>
        <w:rPr>
          <w:rFonts w:hint="eastAsia" w:ascii="仿宋_GB2312" w:eastAsia="仿宋_GB2312" w:cs="宋体"/>
          <w:sz w:val="32"/>
          <w:szCs w:val="32"/>
          <w:lang w:val="en-US" w:eastAsia="zh-CN"/>
        </w:rPr>
        <w:t>合同约定</w:t>
      </w:r>
      <w:r>
        <w:rPr>
          <w:rFonts w:hint="eastAsia" w:ascii="仿宋_GB2312" w:eastAsia="仿宋_GB2312" w:cs="宋体"/>
          <w:sz w:val="32"/>
          <w:szCs w:val="32"/>
        </w:rPr>
        <w:t>执行而延期付款，甲方应支付乙方违约金，违约金为合同</w:t>
      </w:r>
      <w:r>
        <w:rPr>
          <w:rFonts w:hint="eastAsia" w:ascii="仿宋_GB2312" w:eastAsia="仿宋_GB2312" w:cs="宋体"/>
          <w:sz w:val="32"/>
          <w:szCs w:val="32"/>
          <w:lang w:val="en-US" w:eastAsia="zh-CN"/>
        </w:rPr>
        <w:t>总额</w:t>
      </w:r>
      <w:r>
        <w:rPr>
          <w:rFonts w:hint="eastAsia" w:ascii="仿宋_GB2312" w:eastAsia="仿宋_GB2312" w:cs="宋体"/>
          <w:sz w:val="32"/>
          <w:szCs w:val="32"/>
        </w:rPr>
        <w:t>的0.01％/每天。</w:t>
      </w:r>
    </w:p>
    <w:p>
      <w:pPr>
        <w:tabs>
          <w:tab w:val="left" w:pos="1287"/>
        </w:tabs>
        <w:spacing w:line="520" w:lineRule="exact"/>
        <w:rPr>
          <w:rFonts w:hint="eastAsia" w:ascii="黑体" w:hAnsi="黑体" w:eastAsia="黑体" w:cs="Calibri"/>
          <w:bCs/>
          <w:sz w:val="32"/>
          <w:szCs w:val="32"/>
          <w:highlight w:val="none"/>
        </w:rPr>
      </w:pPr>
    </w:p>
    <w:p>
      <w:pPr>
        <w:pStyle w:val="2"/>
        <w:rPr>
          <w:rFonts w:hint="eastAsia" w:ascii="黑体" w:hAnsi="黑体" w:eastAsia="黑体" w:cs="Calibri"/>
          <w:bCs/>
          <w:sz w:val="32"/>
          <w:szCs w:val="32"/>
          <w:highlight w:val="none"/>
        </w:rPr>
      </w:pPr>
    </w:p>
    <w:p>
      <w:pPr>
        <w:pStyle w:val="2"/>
        <w:rPr>
          <w:rFonts w:hint="eastAsia" w:ascii="黑体" w:hAnsi="黑体" w:eastAsia="黑体" w:cs="Calibri"/>
          <w:bCs/>
          <w:sz w:val="32"/>
          <w:szCs w:val="32"/>
          <w:highlight w:val="none"/>
        </w:rPr>
      </w:pPr>
    </w:p>
    <w:p>
      <w:pPr>
        <w:pStyle w:val="2"/>
        <w:rPr>
          <w:rFonts w:hint="eastAsia" w:ascii="黑体" w:hAnsi="黑体" w:eastAsia="黑体" w:cs="Calibri"/>
          <w:bCs/>
          <w:sz w:val="32"/>
          <w:szCs w:val="32"/>
          <w:highlight w:val="none"/>
        </w:rPr>
      </w:pPr>
    </w:p>
    <w:p>
      <w:pPr>
        <w:pStyle w:val="2"/>
        <w:rPr>
          <w:rFonts w:hint="eastAsia" w:ascii="黑体" w:hAnsi="黑体" w:eastAsia="黑体" w:cs="Calibri"/>
          <w:bCs/>
          <w:sz w:val="32"/>
          <w:szCs w:val="32"/>
          <w:highlight w:val="none"/>
        </w:rPr>
      </w:pPr>
    </w:p>
    <w:p>
      <w:pPr>
        <w:jc w:val="center"/>
        <w:rPr>
          <w:rFonts w:hint="eastAsia" w:ascii="黑体" w:hAnsi="黑体" w:eastAsia="黑体" w:cs="Calibri"/>
          <w:sz w:val="44"/>
          <w:szCs w:val="44"/>
        </w:rPr>
      </w:pPr>
    </w:p>
    <w:p>
      <w:pPr>
        <w:jc w:val="center"/>
        <w:rPr>
          <w:rFonts w:hint="eastAsia" w:ascii="黑体" w:hAnsi="黑体" w:eastAsia="黑体" w:cs="Calibri"/>
          <w:sz w:val="44"/>
          <w:szCs w:val="44"/>
        </w:rPr>
      </w:pPr>
    </w:p>
    <w:p>
      <w:pPr>
        <w:jc w:val="center"/>
        <w:rPr>
          <w:rFonts w:hint="eastAsia" w:ascii="黑体" w:hAnsi="黑体" w:eastAsia="黑体" w:cs="Calibri"/>
          <w:sz w:val="44"/>
          <w:szCs w:val="44"/>
        </w:rPr>
      </w:pPr>
    </w:p>
    <w:p>
      <w:pPr>
        <w:widowControl/>
        <w:spacing w:line="440" w:lineRule="atLeast"/>
        <w:rPr>
          <w:rFonts w:hint="eastAsia" w:ascii="黑体" w:hAnsi="黑体" w:eastAsia="黑体" w:cs="宋体"/>
          <w:kern w:val="0"/>
          <w:sz w:val="32"/>
          <w:szCs w:val="32"/>
        </w:rPr>
      </w:pPr>
    </w:p>
    <w:p>
      <w:pPr>
        <w:widowControl/>
        <w:spacing w:line="440" w:lineRule="atLeast"/>
        <w:rPr>
          <w:rFonts w:ascii="黑体" w:hAnsi="黑体" w:eastAsia="黑体" w:cs="宋体"/>
          <w:kern w:val="0"/>
          <w:sz w:val="32"/>
          <w:szCs w:val="32"/>
        </w:rPr>
      </w:pPr>
      <w:r>
        <w:rPr>
          <w:rFonts w:hint="eastAsia" w:ascii="黑体" w:hAnsi="黑体" w:eastAsia="黑体" w:cs="宋体"/>
          <w:kern w:val="0"/>
          <w:sz w:val="32"/>
          <w:szCs w:val="32"/>
        </w:rPr>
        <w:t>附件4</w:t>
      </w:r>
    </w:p>
    <w:p>
      <w:pPr>
        <w:jc w:val="center"/>
        <w:rPr>
          <w:rFonts w:ascii="黑体" w:hAnsi="黑体" w:eastAsia="黑体" w:cs="Calibri"/>
          <w:sz w:val="44"/>
          <w:szCs w:val="44"/>
        </w:rPr>
      </w:pPr>
      <w:r>
        <w:rPr>
          <w:rFonts w:hint="eastAsia" w:ascii="黑体" w:hAnsi="黑体" w:eastAsia="黑体" w:cs="Calibri"/>
          <w:sz w:val="44"/>
          <w:szCs w:val="44"/>
        </w:rPr>
        <w:t>报价单位信息表</w:t>
      </w:r>
    </w:p>
    <w:p>
      <w:pPr>
        <w:spacing w:after="120"/>
        <w:ind w:firstLine="800" w:firstLineChars="250"/>
        <w:rPr>
          <w:rFonts w:ascii="仿宋_GB2312" w:hAnsi="华文细黑" w:eastAsia="仿宋_GB2312" w:cs="Calibri"/>
          <w:sz w:val="32"/>
          <w:szCs w:val="32"/>
        </w:rPr>
      </w:pPr>
      <w:r>
        <w:rPr>
          <w:rFonts w:hint="eastAsia" w:ascii="仿宋_GB2312" w:hAnsi="华文细黑" w:eastAsia="仿宋_GB2312" w:cs="Calibri"/>
          <w:sz w:val="32"/>
          <w:szCs w:val="32"/>
        </w:rPr>
        <w:t xml:space="preserve"> 企业编号：</w:t>
      </w:r>
    </w:p>
    <w:tbl>
      <w:tblPr>
        <w:tblStyle w:val="11"/>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872"/>
        <w:gridCol w:w="1632"/>
        <w:gridCol w:w="301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27" w:hRule="atLeast"/>
          <w:jc w:val="center"/>
        </w:trPr>
        <w:tc>
          <w:tcPr>
            <w:tcW w:w="1674" w:type="dxa"/>
            <w:tcBorders>
              <w:top w:val="double" w:color="auto" w:sz="4" w:space="0"/>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企业名称</w:t>
            </w:r>
          </w:p>
        </w:tc>
        <w:tc>
          <w:tcPr>
            <w:tcW w:w="7516" w:type="dxa"/>
            <w:gridSpan w:val="3"/>
            <w:tcBorders>
              <w:top w:val="double" w:color="auto" w:sz="4" w:space="0"/>
              <w:right w:val="double" w:color="auto" w:sz="4" w:space="0"/>
            </w:tcBorders>
            <w:noWrap w:val="0"/>
            <w:vAlign w:val="top"/>
          </w:tcPr>
          <w:p>
            <w:pPr>
              <w:spacing w:before="120" w:after="120"/>
              <w:rPr>
                <w:rFonts w:ascii="仿宋_GB2312" w:hAnsi="华文细黑"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3" w:hRule="atLeast"/>
          <w:jc w:val="center"/>
        </w:trPr>
        <w:tc>
          <w:tcPr>
            <w:tcW w:w="1674" w:type="dxa"/>
            <w:tcBorders>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企业等级</w:t>
            </w:r>
          </w:p>
        </w:tc>
        <w:tc>
          <w:tcPr>
            <w:tcW w:w="2872" w:type="dxa"/>
            <w:noWrap w:val="0"/>
            <w:vAlign w:val="top"/>
          </w:tcPr>
          <w:p>
            <w:pPr>
              <w:spacing w:before="120" w:after="120"/>
              <w:rPr>
                <w:rFonts w:ascii="仿宋_GB2312" w:hAnsi="华文细黑" w:eastAsia="仿宋_GB2312" w:cs="Calibri"/>
                <w:sz w:val="32"/>
                <w:szCs w:val="32"/>
              </w:rPr>
            </w:pPr>
          </w:p>
        </w:tc>
        <w:tc>
          <w:tcPr>
            <w:tcW w:w="1632" w:type="dxa"/>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企业性质</w:t>
            </w:r>
          </w:p>
        </w:tc>
        <w:tc>
          <w:tcPr>
            <w:tcW w:w="3012" w:type="dxa"/>
            <w:tcBorders>
              <w:right w:val="double" w:color="auto" w:sz="4" w:space="0"/>
            </w:tcBorders>
            <w:noWrap w:val="0"/>
            <w:vAlign w:val="top"/>
          </w:tcPr>
          <w:p>
            <w:pPr>
              <w:spacing w:before="120" w:after="120"/>
              <w:rPr>
                <w:rFonts w:ascii="仿宋_GB2312" w:hAnsi="华文细黑"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9" w:hRule="atLeast"/>
          <w:jc w:val="center"/>
        </w:trPr>
        <w:tc>
          <w:tcPr>
            <w:tcW w:w="1674" w:type="dxa"/>
            <w:tcBorders>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成立日期</w:t>
            </w:r>
          </w:p>
        </w:tc>
        <w:tc>
          <w:tcPr>
            <w:tcW w:w="2872" w:type="dxa"/>
            <w:noWrap w:val="0"/>
            <w:vAlign w:val="top"/>
          </w:tcPr>
          <w:p>
            <w:pPr>
              <w:spacing w:before="120" w:after="120"/>
              <w:rPr>
                <w:rFonts w:ascii="仿宋_GB2312" w:hAnsi="华文细黑" w:eastAsia="仿宋_GB2312" w:cs="Calibri"/>
                <w:sz w:val="32"/>
                <w:szCs w:val="32"/>
              </w:rPr>
            </w:pPr>
            <w:r>
              <w:rPr>
                <w:rFonts w:hint="eastAsia" w:ascii="仿宋_GB2312" w:hAnsi="华文细黑" w:eastAsia="仿宋_GB2312" w:cs="Calibri"/>
                <w:sz w:val="32"/>
                <w:szCs w:val="32"/>
              </w:rPr>
              <w:t xml:space="preserve">      年     月</w:t>
            </w:r>
          </w:p>
        </w:tc>
        <w:tc>
          <w:tcPr>
            <w:tcW w:w="1632" w:type="dxa"/>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在职职工</w:t>
            </w:r>
          </w:p>
        </w:tc>
        <w:tc>
          <w:tcPr>
            <w:tcW w:w="3012" w:type="dxa"/>
            <w:tcBorders>
              <w:right w:val="double" w:color="auto" w:sz="4" w:space="0"/>
            </w:tcBorders>
            <w:noWrap w:val="0"/>
            <w:vAlign w:val="top"/>
          </w:tcPr>
          <w:p>
            <w:pPr>
              <w:spacing w:before="120" w:after="120"/>
              <w:rPr>
                <w:rFonts w:ascii="仿宋_GB2312" w:hAnsi="华文细黑" w:eastAsia="仿宋_GB2312" w:cs="Calibri"/>
                <w:sz w:val="32"/>
                <w:szCs w:val="32"/>
              </w:rPr>
            </w:pPr>
            <w:r>
              <w:rPr>
                <w:rFonts w:hint="eastAsia" w:ascii="仿宋_GB2312" w:hAnsi="华文细黑" w:eastAsia="仿宋_GB2312" w:cs="Calibri"/>
                <w:sz w:val="32"/>
                <w:szCs w:val="32"/>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9" w:hRule="atLeast"/>
          <w:jc w:val="center"/>
        </w:trPr>
        <w:tc>
          <w:tcPr>
            <w:tcW w:w="1674" w:type="dxa"/>
            <w:tcBorders>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注册资金</w:t>
            </w:r>
          </w:p>
        </w:tc>
        <w:tc>
          <w:tcPr>
            <w:tcW w:w="2872" w:type="dxa"/>
            <w:noWrap w:val="0"/>
            <w:vAlign w:val="top"/>
          </w:tcPr>
          <w:p>
            <w:pPr>
              <w:spacing w:before="120" w:after="120"/>
              <w:rPr>
                <w:rFonts w:ascii="仿宋_GB2312" w:hAnsi="华文细黑" w:eastAsia="仿宋_GB2312" w:cs="Calibri"/>
                <w:sz w:val="32"/>
                <w:szCs w:val="32"/>
              </w:rPr>
            </w:pPr>
          </w:p>
        </w:tc>
        <w:tc>
          <w:tcPr>
            <w:tcW w:w="1632" w:type="dxa"/>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网  址</w:t>
            </w:r>
          </w:p>
        </w:tc>
        <w:tc>
          <w:tcPr>
            <w:tcW w:w="3012" w:type="dxa"/>
            <w:tcBorders>
              <w:right w:val="double" w:color="auto" w:sz="4" w:space="0"/>
            </w:tcBorders>
            <w:noWrap w:val="0"/>
            <w:vAlign w:val="top"/>
          </w:tcPr>
          <w:p>
            <w:pPr>
              <w:spacing w:before="120" w:after="120"/>
              <w:rPr>
                <w:rFonts w:ascii="仿宋_GB2312" w:hAnsi="华文细黑"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33" w:hRule="atLeast"/>
          <w:jc w:val="center"/>
        </w:trPr>
        <w:tc>
          <w:tcPr>
            <w:tcW w:w="1674" w:type="dxa"/>
            <w:tcBorders>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企业地址</w:t>
            </w:r>
          </w:p>
        </w:tc>
        <w:tc>
          <w:tcPr>
            <w:tcW w:w="7516" w:type="dxa"/>
            <w:gridSpan w:val="3"/>
            <w:tcBorders>
              <w:right w:val="double" w:color="auto" w:sz="4" w:space="0"/>
            </w:tcBorders>
            <w:noWrap w:val="0"/>
            <w:vAlign w:val="top"/>
          </w:tcPr>
          <w:p>
            <w:pPr>
              <w:spacing w:before="120" w:after="120"/>
              <w:rPr>
                <w:rFonts w:ascii="仿宋_GB2312" w:hAnsi="华文细黑"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3" w:hRule="atLeast"/>
          <w:jc w:val="center"/>
        </w:trPr>
        <w:tc>
          <w:tcPr>
            <w:tcW w:w="1674" w:type="dxa"/>
            <w:tcBorders>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电  话</w:t>
            </w:r>
          </w:p>
        </w:tc>
        <w:tc>
          <w:tcPr>
            <w:tcW w:w="2872" w:type="dxa"/>
            <w:noWrap w:val="0"/>
            <w:vAlign w:val="top"/>
          </w:tcPr>
          <w:p>
            <w:pPr>
              <w:spacing w:before="120" w:after="120"/>
              <w:rPr>
                <w:rFonts w:ascii="仿宋_GB2312" w:hAnsi="华文细黑" w:eastAsia="仿宋_GB2312" w:cs="Calibri"/>
                <w:sz w:val="32"/>
                <w:szCs w:val="32"/>
              </w:rPr>
            </w:pPr>
          </w:p>
        </w:tc>
        <w:tc>
          <w:tcPr>
            <w:tcW w:w="1632" w:type="dxa"/>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传  真</w:t>
            </w:r>
          </w:p>
        </w:tc>
        <w:tc>
          <w:tcPr>
            <w:tcW w:w="3012" w:type="dxa"/>
            <w:tcBorders>
              <w:right w:val="double" w:color="auto" w:sz="4" w:space="0"/>
            </w:tcBorders>
            <w:noWrap w:val="0"/>
            <w:vAlign w:val="top"/>
          </w:tcPr>
          <w:p>
            <w:pPr>
              <w:spacing w:before="120" w:after="120"/>
              <w:rPr>
                <w:rFonts w:ascii="仿宋_GB2312" w:hAnsi="华文细黑"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9" w:hRule="atLeast"/>
          <w:jc w:val="center"/>
        </w:trPr>
        <w:tc>
          <w:tcPr>
            <w:tcW w:w="1674" w:type="dxa"/>
            <w:tcBorders>
              <w:left w:val="double" w:color="auto" w:sz="4" w:space="0"/>
            </w:tcBorders>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法人代表</w:t>
            </w:r>
          </w:p>
        </w:tc>
        <w:tc>
          <w:tcPr>
            <w:tcW w:w="2872" w:type="dxa"/>
            <w:noWrap w:val="0"/>
            <w:vAlign w:val="top"/>
          </w:tcPr>
          <w:p>
            <w:pPr>
              <w:spacing w:before="120" w:after="120"/>
              <w:rPr>
                <w:rFonts w:ascii="仿宋_GB2312" w:hAnsi="华文细黑" w:eastAsia="仿宋_GB2312" w:cs="Calibri"/>
                <w:sz w:val="32"/>
                <w:szCs w:val="32"/>
              </w:rPr>
            </w:pPr>
          </w:p>
        </w:tc>
        <w:tc>
          <w:tcPr>
            <w:tcW w:w="1632" w:type="dxa"/>
            <w:noWrap w:val="0"/>
            <w:vAlign w:val="top"/>
          </w:tcPr>
          <w:p>
            <w:pPr>
              <w:spacing w:before="120" w:after="120"/>
              <w:jc w:val="center"/>
              <w:rPr>
                <w:rFonts w:ascii="仿宋_GB2312" w:hAnsi="华文细黑" w:eastAsia="仿宋_GB2312" w:cs="Calibri"/>
                <w:sz w:val="32"/>
                <w:szCs w:val="32"/>
              </w:rPr>
            </w:pPr>
            <w:r>
              <w:rPr>
                <w:rFonts w:hint="eastAsia" w:ascii="仿宋_GB2312" w:hAnsi="华文细黑" w:eastAsia="仿宋_GB2312" w:cs="Calibri"/>
                <w:sz w:val="32"/>
                <w:szCs w:val="32"/>
              </w:rPr>
              <w:t>总经理</w:t>
            </w:r>
          </w:p>
        </w:tc>
        <w:tc>
          <w:tcPr>
            <w:tcW w:w="3012" w:type="dxa"/>
            <w:tcBorders>
              <w:right w:val="double" w:color="auto" w:sz="4" w:space="0"/>
            </w:tcBorders>
            <w:noWrap w:val="0"/>
            <w:vAlign w:val="top"/>
          </w:tcPr>
          <w:p>
            <w:pPr>
              <w:spacing w:before="120" w:after="120"/>
              <w:rPr>
                <w:rFonts w:ascii="仿宋_GB2312" w:hAnsi="华文细黑"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202" w:type="dxa"/>
            <w:gridSpan w:val="5"/>
            <w:tcBorders>
              <w:left w:val="double" w:color="auto" w:sz="4" w:space="0"/>
              <w:bottom w:val="double" w:color="auto" w:sz="4" w:space="0"/>
              <w:right w:val="double" w:color="auto" w:sz="4" w:space="0"/>
            </w:tcBorders>
            <w:noWrap w:val="0"/>
            <w:vAlign w:val="top"/>
          </w:tcPr>
          <w:p>
            <w:pPr>
              <w:spacing w:before="120" w:after="120"/>
              <w:rPr>
                <w:rFonts w:ascii="仿宋_GB2312" w:hAnsi="华文细黑" w:eastAsia="仿宋_GB2312" w:cs="Calibri"/>
                <w:sz w:val="32"/>
                <w:szCs w:val="32"/>
              </w:rPr>
            </w:pPr>
            <w:r>
              <w:rPr>
                <w:rFonts w:hint="eastAsia" w:ascii="仿宋_GB2312" w:hAnsi="华文细黑" w:eastAsia="仿宋_GB2312" w:cs="Calibri"/>
                <w:sz w:val="32"/>
                <w:szCs w:val="32"/>
              </w:rPr>
              <w:t>获奖及信誉状况、市场占有率等情况：</w:t>
            </w:r>
          </w:p>
          <w:p>
            <w:pPr>
              <w:spacing w:before="120" w:after="120"/>
              <w:rPr>
                <w:rFonts w:ascii="仿宋_GB2312" w:hAnsi="华文细黑" w:eastAsia="仿宋_GB2312" w:cs="Calibri"/>
                <w:sz w:val="32"/>
                <w:szCs w:val="32"/>
              </w:rPr>
            </w:pPr>
          </w:p>
          <w:p>
            <w:pPr>
              <w:spacing w:before="120" w:after="120"/>
              <w:rPr>
                <w:rFonts w:ascii="仿宋_GB2312" w:hAnsi="华文细黑" w:eastAsia="仿宋_GB2312" w:cs="Calibri"/>
                <w:sz w:val="32"/>
                <w:szCs w:val="32"/>
              </w:rPr>
            </w:pPr>
          </w:p>
          <w:p>
            <w:pPr>
              <w:spacing w:before="120" w:after="120"/>
              <w:rPr>
                <w:rFonts w:ascii="仿宋_GB2312" w:hAnsi="华文细黑" w:eastAsia="仿宋_GB2312" w:cs="Calibri"/>
                <w:sz w:val="32"/>
                <w:szCs w:val="32"/>
              </w:rPr>
            </w:pPr>
          </w:p>
          <w:p>
            <w:pPr>
              <w:spacing w:before="120" w:after="120"/>
              <w:rPr>
                <w:rFonts w:ascii="仿宋_GB2312" w:hAnsi="华文细黑" w:eastAsia="仿宋_GB2312" w:cs="Calibri"/>
                <w:sz w:val="32"/>
                <w:szCs w:val="32"/>
              </w:rPr>
            </w:pPr>
          </w:p>
        </w:tc>
      </w:tr>
    </w:tbl>
    <w:p>
      <w:pPr>
        <w:rPr>
          <w:rFonts w:ascii="黑体" w:hAnsi="黑体" w:eastAsia="黑体" w:cs="宋体"/>
          <w:kern w:val="0"/>
          <w:sz w:val="32"/>
          <w:szCs w:val="32"/>
        </w:rPr>
      </w:pPr>
    </w:p>
    <w:p>
      <w:pPr>
        <w:widowControl/>
        <w:spacing w:line="440" w:lineRule="atLeast"/>
        <w:rPr>
          <w:rFonts w:ascii="黑体" w:hAnsi="黑体" w:eastAsia="黑体" w:cs="宋体"/>
          <w:kern w:val="0"/>
          <w:sz w:val="32"/>
          <w:szCs w:val="32"/>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5</w:t>
      </w:r>
    </w:p>
    <w:p>
      <w:pPr>
        <w:widowControl/>
        <w:spacing w:line="440" w:lineRule="atLeast"/>
        <w:jc w:val="center"/>
        <w:rPr>
          <w:rFonts w:ascii="黑体" w:hAnsi="黑体" w:eastAsia="黑体" w:cs="宋体"/>
          <w:kern w:val="0"/>
          <w:sz w:val="32"/>
          <w:szCs w:val="32"/>
        </w:rPr>
      </w:pPr>
      <w:r>
        <w:rPr>
          <w:rFonts w:hint="eastAsia" w:ascii="黑体" w:hAnsi="黑体" w:eastAsia="黑体" w:cs="宋体"/>
          <w:kern w:val="0"/>
          <w:sz w:val="32"/>
          <w:szCs w:val="32"/>
        </w:rPr>
        <w:t>资格证明文件格式</w:t>
      </w:r>
    </w:p>
    <w:p>
      <w:pPr>
        <w:spacing w:line="520" w:lineRule="exact"/>
        <w:rPr>
          <w:rFonts w:ascii="华文细黑" w:hAnsi="华文细黑" w:eastAsia="华文细黑" w:cs="Calibri"/>
          <w:w w:val="90"/>
          <w:sz w:val="24"/>
          <w:szCs w:val="21"/>
        </w:rPr>
      </w:pPr>
    </w:p>
    <w:p>
      <w:pPr>
        <w:spacing w:line="520" w:lineRule="exact"/>
        <w:jc w:val="center"/>
        <w:rPr>
          <w:rFonts w:ascii="华文细黑" w:hAnsi="华文细黑" w:eastAsia="华文细黑" w:cs="Calibri"/>
          <w:b/>
          <w:sz w:val="24"/>
          <w:szCs w:val="21"/>
        </w:rPr>
      </w:pPr>
      <w:r>
        <w:rPr>
          <w:rFonts w:hint="eastAsia" w:ascii="华文细黑" w:hAnsi="华文细黑" w:eastAsia="华文细黑" w:cs="Calibri"/>
          <w:b/>
          <w:sz w:val="24"/>
          <w:szCs w:val="21"/>
        </w:rPr>
        <w:t>资 格 证 明</w:t>
      </w:r>
    </w:p>
    <w:tbl>
      <w:tblPr>
        <w:tblStyle w:val="11"/>
        <w:tblpPr w:leftFromText="180" w:rightFromText="180" w:vertAnchor="text" w:horzAnchor="page" w:tblpX="1797" w:tblpY="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8773" w:type="dxa"/>
            <w:noWrap w:val="0"/>
            <w:vAlign w:val="top"/>
          </w:tcPr>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p>
            <w:pPr>
              <w:ind w:firstLine="420" w:firstLineChars="200"/>
              <w:rPr>
                <w:rFonts w:ascii="Calibri" w:hAnsi="Calibri" w:eastAsia="宋体" w:cs="Calibri"/>
                <w:szCs w:val="21"/>
              </w:rPr>
            </w:pPr>
          </w:p>
          <w:p>
            <w:pPr>
              <w:spacing w:line="520" w:lineRule="exact"/>
              <w:rPr>
                <w:rFonts w:ascii="华文细黑" w:hAnsi="华文细黑" w:eastAsia="华文细黑" w:cs="Calibri"/>
                <w:sz w:val="24"/>
                <w:szCs w:val="21"/>
              </w:rPr>
            </w:pPr>
            <w:r>
              <w:rPr>
                <w:rFonts w:hint="eastAsia" w:ascii="华文细黑" w:hAnsi="华文细黑" w:eastAsia="华文细黑" w:cs="Calibri"/>
                <w:sz w:val="24"/>
                <w:szCs w:val="21"/>
              </w:rPr>
              <w:t>投标时，需提供企业法人营业执照、企业资质证书、税务登记证、荣誉证书等复印件加盖公章。</w:t>
            </w:r>
          </w:p>
          <w:p>
            <w:pPr>
              <w:spacing w:line="520" w:lineRule="exact"/>
              <w:rPr>
                <w:rFonts w:ascii="华文细黑" w:hAnsi="华文细黑" w:eastAsia="华文细黑" w:cs="Calibri"/>
                <w:sz w:val="24"/>
                <w:szCs w:val="21"/>
              </w:rPr>
            </w:pPr>
          </w:p>
          <w:p>
            <w:pPr>
              <w:spacing w:line="520" w:lineRule="exact"/>
              <w:rPr>
                <w:rFonts w:ascii="华文细黑" w:hAnsi="华文细黑" w:eastAsia="华文细黑" w:cs="Calibri"/>
                <w:sz w:val="24"/>
                <w:szCs w:val="21"/>
              </w:rPr>
            </w:pPr>
          </w:p>
        </w:tc>
      </w:tr>
    </w:tbl>
    <w:p>
      <w:pPr>
        <w:spacing w:line="520" w:lineRule="exact"/>
        <w:rPr>
          <w:rFonts w:ascii="华文细黑" w:hAnsi="华文细黑" w:eastAsia="华文细黑" w:cs="Calibri"/>
          <w:sz w:val="24"/>
          <w:szCs w:val="21"/>
        </w:rPr>
        <w:sectPr>
          <w:footerReference r:id="rId3" w:type="default"/>
          <w:pgSz w:w="11906" w:h="16838"/>
          <w:pgMar w:top="2154" w:right="1417" w:bottom="2041" w:left="1531" w:header="851" w:footer="992" w:gutter="0"/>
          <w:cols w:space="720" w:num="1"/>
          <w:docGrid w:type="lines" w:linePitch="312" w:charSpace="0"/>
        </w:sectPr>
      </w:pPr>
      <w:r>
        <w:rPr>
          <w:rFonts w:hint="eastAsia" w:ascii="华文细黑" w:hAnsi="华文细黑" w:eastAsia="华文细黑" w:cs="Calibri"/>
          <w:sz w:val="24"/>
          <w:szCs w:val="21"/>
        </w:rPr>
        <w:t xml:space="preserve">                                              </w:t>
      </w:r>
    </w:p>
    <w:p>
      <w:pPr>
        <w:spacing w:after="120"/>
        <w:rPr>
          <w:rFonts w:ascii="Calibri" w:hAnsi="Calibri" w:eastAsia="宋体" w:cs="Calibri"/>
          <w:szCs w:val="21"/>
        </w:rPr>
      </w:pPr>
      <w:r>
        <w:rPr>
          <w:rFonts w:hint="eastAsia" w:ascii="黑体" w:hAnsi="黑体" w:eastAsia="黑体" w:cs="Calibri"/>
          <w:sz w:val="32"/>
          <w:szCs w:val="32"/>
        </w:rPr>
        <w:t>附件</w:t>
      </w:r>
      <w:r>
        <w:rPr>
          <w:rFonts w:hint="eastAsia" w:ascii="黑体" w:hAnsi="黑体" w:eastAsia="黑体" w:cs="Calibri"/>
          <w:sz w:val="32"/>
          <w:szCs w:val="32"/>
          <w:lang w:val="en-US" w:eastAsia="zh-CN"/>
        </w:rPr>
        <w:t>6</w:t>
      </w:r>
      <w:r>
        <w:rPr>
          <w:rFonts w:ascii="黑体" w:hAnsi="黑体" w:eastAsia="黑体" w:cs="Calibri"/>
          <w:sz w:val="32"/>
          <w:szCs w:val="32"/>
        </w:rPr>
        <w:t xml:space="preserve"> </w:t>
      </w:r>
      <w:r>
        <w:rPr>
          <w:rFonts w:ascii="Calibri" w:hAnsi="Calibri" w:eastAsia="宋体" w:cs="Calibri"/>
          <w:szCs w:val="21"/>
        </w:rPr>
        <w:t xml:space="preserve">                   </w:t>
      </w:r>
    </w:p>
    <w:tbl>
      <w:tblPr>
        <w:tblStyle w:val="11"/>
        <w:tblW w:w="14573" w:type="dxa"/>
        <w:tblInd w:w="93" w:type="dxa"/>
        <w:tblLayout w:type="fixed"/>
        <w:tblCellMar>
          <w:top w:w="0" w:type="dxa"/>
          <w:left w:w="108" w:type="dxa"/>
          <w:bottom w:w="0" w:type="dxa"/>
          <w:right w:w="108" w:type="dxa"/>
        </w:tblCellMar>
      </w:tblPr>
      <w:tblGrid>
        <w:gridCol w:w="1214"/>
        <w:gridCol w:w="1224"/>
        <w:gridCol w:w="464"/>
        <w:gridCol w:w="460"/>
        <w:gridCol w:w="2346"/>
        <w:gridCol w:w="3877"/>
        <w:gridCol w:w="2163"/>
        <w:gridCol w:w="2825"/>
      </w:tblGrid>
      <w:tr>
        <w:tblPrEx>
          <w:tblCellMar>
            <w:top w:w="0" w:type="dxa"/>
            <w:left w:w="108" w:type="dxa"/>
            <w:bottom w:w="0" w:type="dxa"/>
            <w:right w:w="108" w:type="dxa"/>
          </w:tblCellMar>
        </w:tblPrEx>
        <w:trPr>
          <w:trHeight w:val="791" w:hRule="atLeast"/>
        </w:trPr>
        <w:tc>
          <w:tcPr>
            <w:tcW w:w="14573" w:type="dxa"/>
            <w:gridSpan w:val="8"/>
            <w:tcBorders>
              <w:top w:val="single" w:color="000000" w:sz="8" w:space="0"/>
              <w:left w:val="single" w:color="000000" w:sz="8" w:space="0"/>
              <w:bottom w:val="nil"/>
              <w:right w:val="single" w:color="000000" w:sz="8" w:space="0"/>
            </w:tcBorders>
            <w:noWrap/>
            <w:vAlign w:val="center"/>
          </w:tcPr>
          <w:p>
            <w:pPr>
              <w:widowControl/>
              <w:jc w:val="center"/>
              <w:textAlignment w:val="center"/>
              <w:rPr>
                <w:rFonts w:ascii="黑体" w:hAnsi="宋体" w:eastAsia="黑体" w:cs="黑体"/>
                <w:b/>
                <w:bCs/>
                <w:color w:val="000000"/>
                <w:sz w:val="32"/>
                <w:szCs w:val="32"/>
              </w:rPr>
            </w:pPr>
            <w:bookmarkStart w:id="3" w:name="_Hlk137215062"/>
            <w:r>
              <w:rPr>
                <w:rFonts w:hint="eastAsia" w:ascii="黑体" w:hAnsi="宋体" w:eastAsia="黑体" w:cs="黑体"/>
                <w:b/>
                <w:bCs/>
                <w:color w:val="000000"/>
                <w:kern w:val="0"/>
                <w:sz w:val="32"/>
                <w:szCs w:val="32"/>
                <w:lang w:bidi="ar"/>
              </w:rPr>
              <w:t>上实T</w:t>
            </w:r>
            <w:r>
              <w:rPr>
                <w:rFonts w:ascii="黑体" w:hAnsi="宋体" w:eastAsia="黑体" w:cs="黑体"/>
                <w:b/>
                <w:bCs/>
                <w:color w:val="000000"/>
                <w:kern w:val="0"/>
                <w:sz w:val="32"/>
                <w:szCs w:val="32"/>
                <w:lang w:bidi="ar"/>
              </w:rPr>
              <w:t>2</w:t>
            </w:r>
            <w:r>
              <w:rPr>
                <w:rFonts w:hint="eastAsia" w:ascii="黑体" w:hAnsi="宋体" w:eastAsia="黑体" w:cs="黑体"/>
                <w:b/>
                <w:bCs/>
                <w:color w:val="000000"/>
                <w:kern w:val="0"/>
                <w:sz w:val="32"/>
                <w:szCs w:val="32"/>
                <w:lang w:bidi="ar"/>
              </w:rPr>
              <w:t>楼空气净化器购置报价单</w:t>
            </w:r>
            <w:bookmarkEnd w:id="3"/>
          </w:p>
        </w:tc>
      </w:tr>
      <w:tr>
        <w:tblPrEx>
          <w:tblCellMar>
            <w:top w:w="0" w:type="dxa"/>
            <w:left w:w="108" w:type="dxa"/>
            <w:bottom w:w="0" w:type="dxa"/>
            <w:right w:w="108" w:type="dxa"/>
          </w:tblCellMar>
        </w:tblPrEx>
        <w:trPr>
          <w:trHeight w:val="962" w:hRule="atLeast"/>
        </w:trPr>
        <w:tc>
          <w:tcPr>
            <w:tcW w:w="1214"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设备品牌</w:t>
            </w:r>
          </w:p>
        </w:tc>
        <w:tc>
          <w:tcPr>
            <w:tcW w:w="1224"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设备型号</w:t>
            </w:r>
          </w:p>
        </w:tc>
        <w:tc>
          <w:tcPr>
            <w:tcW w:w="924" w:type="dxa"/>
            <w:gridSpan w:val="2"/>
            <w:tcBorders>
              <w:top w:val="single" w:color="000000" w:sz="8" w:space="0"/>
              <w:left w:val="single" w:color="000000" w:sz="8" w:space="0"/>
              <w:bottom w:val="single" w:color="000000" w:sz="8" w:space="0"/>
              <w:right w:val="single" w:color="auto" w:sz="4"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设备参数</w:t>
            </w:r>
          </w:p>
        </w:tc>
        <w:tc>
          <w:tcPr>
            <w:tcW w:w="2346" w:type="dxa"/>
            <w:tcBorders>
              <w:top w:val="single" w:color="000000" w:sz="8" w:space="0"/>
              <w:left w:val="single" w:color="auto" w:sz="4" w:space="0"/>
              <w:bottom w:val="single" w:color="000000" w:sz="8"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产品图片</w:t>
            </w:r>
          </w:p>
        </w:tc>
        <w:tc>
          <w:tcPr>
            <w:tcW w:w="3877"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产品单价</w:t>
            </w:r>
          </w:p>
        </w:tc>
        <w:tc>
          <w:tcPr>
            <w:tcW w:w="2163"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数量（台）</w:t>
            </w:r>
          </w:p>
        </w:tc>
        <w:tc>
          <w:tcPr>
            <w:tcW w:w="282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合计金额</w:t>
            </w:r>
          </w:p>
        </w:tc>
      </w:tr>
      <w:tr>
        <w:tblPrEx>
          <w:tblCellMar>
            <w:top w:w="0" w:type="dxa"/>
            <w:left w:w="108" w:type="dxa"/>
            <w:bottom w:w="0" w:type="dxa"/>
            <w:right w:w="108" w:type="dxa"/>
          </w:tblCellMar>
        </w:tblPrEx>
        <w:trPr>
          <w:trHeight w:val="372" w:hRule="atLeast"/>
        </w:trPr>
        <w:tc>
          <w:tcPr>
            <w:tcW w:w="1214" w:type="dxa"/>
            <w:tcBorders>
              <w:top w:val="single" w:color="000000" w:sz="8" w:space="0"/>
              <w:left w:val="single" w:color="000000" w:sz="8" w:space="0"/>
              <w:bottom w:val="single" w:color="auto" w:sz="4" w:space="0"/>
              <w:right w:val="single" w:color="000000" w:sz="8" w:space="0"/>
            </w:tcBorders>
            <w:noWrap/>
            <w:vAlign w:val="bottom"/>
          </w:tcPr>
          <w:p>
            <w:pPr>
              <w:jc w:val="center"/>
              <w:rPr>
                <w:rFonts w:ascii="宋体" w:hAnsi="宋体" w:eastAsia="宋体" w:cs="宋体"/>
                <w:color w:val="000000"/>
                <w:sz w:val="22"/>
              </w:rPr>
            </w:pPr>
          </w:p>
        </w:tc>
        <w:tc>
          <w:tcPr>
            <w:tcW w:w="1224"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924" w:type="dxa"/>
            <w:gridSpan w:val="2"/>
            <w:tcBorders>
              <w:top w:val="single" w:color="000000" w:sz="8" w:space="0"/>
              <w:left w:val="single" w:color="000000" w:sz="8" w:space="0"/>
              <w:bottom w:val="single" w:color="auto" w:sz="4" w:space="0"/>
              <w:right w:val="single" w:color="auto" w:sz="4" w:space="0"/>
            </w:tcBorders>
            <w:noWrap/>
            <w:vAlign w:val="center"/>
          </w:tcPr>
          <w:p>
            <w:pPr>
              <w:widowControl/>
              <w:jc w:val="center"/>
              <w:textAlignment w:val="center"/>
              <w:rPr>
                <w:rFonts w:ascii="黑体" w:hAnsi="宋体" w:eastAsia="黑体" w:cs="黑体"/>
                <w:color w:val="000000"/>
                <w:sz w:val="24"/>
                <w:szCs w:val="24"/>
              </w:rPr>
            </w:pPr>
          </w:p>
        </w:tc>
        <w:tc>
          <w:tcPr>
            <w:tcW w:w="2346" w:type="dxa"/>
            <w:tcBorders>
              <w:top w:val="single" w:color="000000" w:sz="8" w:space="0"/>
              <w:left w:val="single" w:color="auto" w:sz="4"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3877"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c>
          <w:tcPr>
            <w:tcW w:w="2163" w:type="dxa"/>
            <w:vMerge w:val="restart"/>
            <w:tcBorders>
              <w:top w:val="single" w:color="000000" w:sz="8" w:space="0"/>
              <w:left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156</w:t>
            </w:r>
          </w:p>
        </w:tc>
        <w:tc>
          <w:tcPr>
            <w:tcW w:w="2825"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r>
      <w:tr>
        <w:tblPrEx>
          <w:tblCellMar>
            <w:top w:w="0" w:type="dxa"/>
            <w:left w:w="108" w:type="dxa"/>
            <w:bottom w:w="0" w:type="dxa"/>
            <w:right w:w="108" w:type="dxa"/>
          </w:tblCellMar>
        </w:tblPrEx>
        <w:trPr>
          <w:trHeight w:val="372" w:hRule="atLeast"/>
        </w:trPr>
        <w:tc>
          <w:tcPr>
            <w:tcW w:w="1214" w:type="dxa"/>
            <w:tcBorders>
              <w:top w:val="single" w:color="000000" w:sz="8" w:space="0"/>
              <w:left w:val="single" w:color="000000" w:sz="8" w:space="0"/>
              <w:bottom w:val="single" w:color="auto" w:sz="4" w:space="0"/>
              <w:right w:val="single" w:color="000000" w:sz="8" w:space="0"/>
            </w:tcBorders>
            <w:noWrap/>
            <w:vAlign w:val="bottom"/>
          </w:tcPr>
          <w:p>
            <w:pPr>
              <w:jc w:val="center"/>
              <w:rPr>
                <w:rFonts w:ascii="宋体" w:hAnsi="宋体" w:eastAsia="宋体" w:cs="宋体"/>
                <w:color w:val="000000"/>
                <w:sz w:val="22"/>
              </w:rPr>
            </w:pPr>
          </w:p>
        </w:tc>
        <w:tc>
          <w:tcPr>
            <w:tcW w:w="1224"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924" w:type="dxa"/>
            <w:gridSpan w:val="2"/>
            <w:tcBorders>
              <w:top w:val="single" w:color="000000" w:sz="8" w:space="0"/>
              <w:left w:val="single" w:color="000000" w:sz="8" w:space="0"/>
              <w:bottom w:val="single" w:color="auto" w:sz="4" w:space="0"/>
              <w:right w:val="single" w:color="auto" w:sz="4" w:space="0"/>
            </w:tcBorders>
            <w:noWrap/>
            <w:vAlign w:val="center"/>
          </w:tcPr>
          <w:p>
            <w:pPr>
              <w:widowControl/>
              <w:jc w:val="center"/>
              <w:textAlignment w:val="center"/>
              <w:rPr>
                <w:rFonts w:ascii="黑体" w:hAnsi="宋体" w:eastAsia="黑体" w:cs="黑体"/>
                <w:color w:val="000000"/>
                <w:sz w:val="24"/>
                <w:szCs w:val="24"/>
              </w:rPr>
            </w:pPr>
          </w:p>
        </w:tc>
        <w:tc>
          <w:tcPr>
            <w:tcW w:w="2346" w:type="dxa"/>
            <w:tcBorders>
              <w:top w:val="single" w:color="000000" w:sz="8" w:space="0"/>
              <w:left w:val="single" w:color="auto" w:sz="4"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3877"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c>
          <w:tcPr>
            <w:tcW w:w="2163" w:type="dxa"/>
            <w:vMerge w:val="continue"/>
            <w:tcBorders>
              <w:left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p>
        </w:tc>
        <w:tc>
          <w:tcPr>
            <w:tcW w:w="2825"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r>
      <w:tr>
        <w:tblPrEx>
          <w:tblCellMar>
            <w:top w:w="0" w:type="dxa"/>
            <w:left w:w="108" w:type="dxa"/>
            <w:bottom w:w="0" w:type="dxa"/>
            <w:right w:w="108" w:type="dxa"/>
          </w:tblCellMar>
        </w:tblPrEx>
        <w:trPr>
          <w:trHeight w:val="372" w:hRule="atLeast"/>
        </w:trPr>
        <w:tc>
          <w:tcPr>
            <w:tcW w:w="1214" w:type="dxa"/>
            <w:tcBorders>
              <w:top w:val="single" w:color="000000" w:sz="8" w:space="0"/>
              <w:left w:val="single" w:color="000000" w:sz="8" w:space="0"/>
              <w:bottom w:val="single" w:color="auto" w:sz="4" w:space="0"/>
              <w:right w:val="single" w:color="000000" w:sz="8" w:space="0"/>
            </w:tcBorders>
            <w:noWrap/>
            <w:vAlign w:val="bottom"/>
          </w:tcPr>
          <w:p>
            <w:pPr>
              <w:jc w:val="center"/>
              <w:rPr>
                <w:rFonts w:ascii="宋体" w:hAnsi="宋体" w:eastAsia="宋体" w:cs="宋体"/>
                <w:color w:val="000000"/>
                <w:sz w:val="22"/>
              </w:rPr>
            </w:pPr>
          </w:p>
        </w:tc>
        <w:tc>
          <w:tcPr>
            <w:tcW w:w="1224"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924" w:type="dxa"/>
            <w:gridSpan w:val="2"/>
            <w:tcBorders>
              <w:top w:val="single" w:color="000000" w:sz="8" w:space="0"/>
              <w:left w:val="single" w:color="000000" w:sz="8" w:space="0"/>
              <w:bottom w:val="single" w:color="auto" w:sz="4" w:space="0"/>
              <w:right w:val="single" w:color="auto" w:sz="4" w:space="0"/>
            </w:tcBorders>
            <w:noWrap/>
            <w:vAlign w:val="center"/>
          </w:tcPr>
          <w:p>
            <w:pPr>
              <w:widowControl/>
              <w:jc w:val="center"/>
              <w:textAlignment w:val="center"/>
              <w:rPr>
                <w:rFonts w:ascii="黑体" w:hAnsi="宋体" w:eastAsia="黑体" w:cs="黑体"/>
                <w:color w:val="000000"/>
                <w:sz w:val="24"/>
                <w:szCs w:val="24"/>
              </w:rPr>
            </w:pPr>
          </w:p>
        </w:tc>
        <w:tc>
          <w:tcPr>
            <w:tcW w:w="2346" w:type="dxa"/>
            <w:tcBorders>
              <w:top w:val="single" w:color="000000" w:sz="8" w:space="0"/>
              <w:left w:val="single" w:color="auto" w:sz="4"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3877"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c>
          <w:tcPr>
            <w:tcW w:w="2163" w:type="dxa"/>
            <w:vMerge w:val="continue"/>
            <w:tcBorders>
              <w:left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p>
        </w:tc>
        <w:tc>
          <w:tcPr>
            <w:tcW w:w="2825"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r>
      <w:tr>
        <w:tblPrEx>
          <w:tblCellMar>
            <w:top w:w="0" w:type="dxa"/>
            <w:left w:w="108" w:type="dxa"/>
            <w:bottom w:w="0" w:type="dxa"/>
            <w:right w:w="108" w:type="dxa"/>
          </w:tblCellMar>
        </w:tblPrEx>
        <w:trPr>
          <w:trHeight w:val="372" w:hRule="atLeast"/>
        </w:trPr>
        <w:tc>
          <w:tcPr>
            <w:tcW w:w="1214" w:type="dxa"/>
            <w:tcBorders>
              <w:top w:val="single" w:color="000000" w:sz="8" w:space="0"/>
              <w:left w:val="single" w:color="000000" w:sz="8" w:space="0"/>
              <w:bottom w:val="single" w:color="auto" w:sz="4" w:space="0"/>
              <w:right w:val="single" w:color="000000" w:sz="8" w:space="0"/>
            </w:tcBorders>
            <w:noWrap/>
            <w:vAlign w:val="bottom"/>
          </w:tcPr>
          <w:p>
            <w:pPr>
              <w:jc w:val="center"/>
              <w:rPr>
                <w:rFonts w:ascii="宋体" w:hAnsi="宋体" w:eastAsia="宋体" w:cs="宋体"/>
                <w:color w:val="000000"/>
                <w:sz w:val="22"/>
              </w:rPr>
            </w:pPr>
          </w:p>
        </w:tc>
        <w:tc>
          <w:tcPr>
            <w:tcW w:w="1224"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924" w:type="dxa"/>
            <w:gridSpan w:val="2"/>
            <w:tcBorders>
              <w:top w:val="single" w:color="000000" w:sz="8" w:space="0"/>
              <w:left w:val="single" w:color="000000" w:sz="8" w:space="0"/>
              <w:bottom w:val="single" w:color="auto" w:sz="4" w:space="0"/>
              <w:right w:val="single" w:color="auto" w:sz="4" w:space="0"/>
            </w:tcBorders>
            <w:noWrap/>
            <w:vAlign w:val="center"/>
          </w:tcPr>
          <w:p>
            <w:pPr>
              <w:widowControl/>
              <w:jc w:val="center"/>
              <w:textAlignment w:val="center"/>
              <w:rPr>
                <w:rFonts w:ascii="黑体" w:hAnsi="宋体" w:eastAsia="黑体" w:cs="黑体"/>
                <w:color w:val="000000"/>
                <w:sz w:val="24"/>
                <w:szCs w:val="24"/>
              </w:rPr>
            </w:pPr>
          </w:p>
        </w:tc>
        <w:tc>
          <w:tcPr>
            <w:tcW w:w="2346" w:type="dxa"/>
            <w:tcBorders>
              <w:top w:val="single" w:color="000000" w:sz="8" w:space="0"/>
              <w:left w:val="single" w:color="auto" w:sz="4"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3877"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c>
          <w:tcPr>
            <w:tcW w:w="2163" w:type="dxa"/>
            <w:vMerge w:val="continue"/>
            <w:tcBorders>
              <w:left w:val="single" w:color="000000" w:sz="8" w:space="0"/>
              <w:bottom w:val="single" w:color="auto" w:sz="4" w:space="0"/>
              <w:right w:val="single" w:color="000000" w:sz="8" w:space="0"/>
            </w:tcBorders>
            <w:noWrap/>
            <w:vAlign w:val="center"/>
          </w:tcPr>
          <w:p>
            <w:pPr>
              <w:widowControl/>
              <w:jc w:val="center"/>
              <w:textAlignment w:val="center"/>
              <w:rPr>
                <w:rFonts w:ascii="黑体" w:hAnsi="宋体" w:eastAsia="黑体" w:cs="黑体"/>
                <w:color w:val="000000"/>
                <w:sz w:val="24"/>
                <w:szCs w:val="24"/>
              </w:rPr>
            </w:pPr>
          </w:p>
        </w:tc>
        <w:tc>
          <w:tcPr>
            <w:tcW w:w="2825"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r>
      <w:tr>
        <w:tblPrEx>
          <w:tblCellMar>
            <w:top w:w="0" w:type="dxa"/>
            <w:left w:w="108" w:type="dxa"/>
            <w:bottom w:w="0" w:type="dxa"/>
            <w:right w:w="108" w:type="dxa"/>
          </w:tblCellMar>
        </w:tblPrEx>
        <w:trPr>
          <w:trHeight w:val="592" w:hRule="atLeast"/>
        </w:trPr>
        <w:tc>
          <w:tcPr>
            <w:tcW w:w="2902" w:type="dxa"/>
            <w:gridSpan w:val="3"/>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税率</w:t>
            </w:r>
          </w:p>
        </w:tc>
        <w:tc>
          <w:tcPr>
            <w:tcW w:w="11671" w:type="dxa"/>
            <w:gridSpan w:val="5"/>
            <w:tcBorders>
              <w:top w:val="single" w:color="000000" w:sz="8" w:space="0"/>
              <w:left w:val="single" w:color="000000" w:sz="8" w:space="0"/>
              <w:bottom w:val="single" w:color="000000" w:sz="8" w:space="0"/>
              <w:right w:val="single" w:color="000000" w:sz="8" w:space="0"/>
            </w:tcBorders>
            <w:noWrap/>
            <w:vAlign w:val="center"/>
          </w:tcPr>
          <w:p>
            <w:pPr>
              <w:jc w:val="center"/>
              <w:rPr>
                <w:rFonts w:ascii="黑体" w:hAnsi="宋体" w:eastAsia="黑体" w:cs="黑体"/>
                <w:color w:val="000000"/>
                <w:sz w:val="24"/>
                <w:szCs w:val="24"/>
              </w:rPr>
            </w:pPr>
          </w:p>
        </w:tc>
      </w:tr>
      <w:tr>
        <w:tblPrEx>
          <w:tblCellMar>
            <w:top w:w="0" w:type="dxa"/>
            <w:left w:w="108" w:type="dxa"/>
            <w:bottom w:w="0" w:type="dxa"/>
            <w:right w:w="108" w:type="dxa"/>
          </w:tblCellMar>
        </w:tblPrEx>
        <w:trPr>
          <w:trHeight w:val="524" w:hRule="atLeast"/>
        </w:trPr>
        <w:tc>
          <w:tcPr>
            <w:tcW w:w="2902" w:type="dxa"/>
            <w:gridSpan w:val="3"/>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其他</w:t>
            </w:r>
          </w:p>
        </w:tc>
        <w:tc>
          <w:tcPr>
            <w:tcW w:w="11671" w:type="dxa"/>
            <w:gridSpan w:val="5"/>
            <w:tcBorders>
              <w:top w:val="single" w:color="000000" w:sz="8" w:space="0"/>
              <w:left w:val="single" w:color="000000" w:sz="8" w:space="0"/>
              <w:bottom w:val="single" w:color="000000" w:sz="8" w:space="0"/>
              <w:right w:val="single" w:color="000000" w:sz="8" w:space="0"/>
            </w:tcBorders>
            <w:noWrap/>
            <w:vAlign w:val="bottom"/>
          </w:tcPr>
          <w:p>
            <w:pPr>
              <w:jc w:val="center"/>
              <w:rPr>
                <w:rFonts w:ascii="黑体" w:hAnsi="宋体" w:eastAsia="黑体" w:cs="黑体"/>
                <w:color w:val="000000"/>
                <w:sz w:val="22"/>
              </w:rPr>
            </w:pPr>
          </w:p>
        </w:tc>
      </w:tr>
    </w:tbl>
    <w:p>
      <w:pPr>
        <w:jc w:val="left"/>
      </w:pPr>
      <w:r>
        <w:rPr>
          <w:rFonts w:hint="eastAsia"/>
          <w:b/>
          <w:bCs/>
        </w:rPr>
        <w:t>注：1</w:t>
      </w:r>
      <w:r>
        <w:rPr>
          <w:b/>
          <w:bCs/>
        </w:rPr>
        <w:t>.</w:t>
      </w:r>
      <w:r>
        <w:rPr>
          <w:rFonts w:hint="eastAsia"/>
          <w:b/>
          <w:bCs/>
        </w:rPr>
        <w:t>提供增值税专用发票，报价标明税点。</w:t>
      </w:r>
    </w:p>
    <w:p>
      <w:pPr>
        <w:numPr>
          <w:ilvl w:val="0"/>
          <w:numId w:val="0"/>
        </w:numPr>
        <w:ind w:firstLine="422" w:firstLineChars="200"/>
        <w:jc w:val="left"/>
        <w:rPr>
          <w:rFonts w:hint="eastAsia"/>
          <w:b/>
          <w:bCs/>
        </w:rPr>
      </w:pPr>
      <w:r>
        <w:rPr>
          <w:rFonts w:hint="eastAsia"/>
          <w:b/>
          <w:bCs/>
          <w:lang w:val="en-US" w:eastAsia="zh-CN"/>
        </w:rPr>
        <w:t>2.</w:t>
      </w:r>
      <w:r>
        <w:rPr>
          <w:rFonts w:hint="eastAsia"/>
          <w:b/>
          <w:bCs/>
        </w:rPr>
        <w:t>报价为</w:t>
      </w:r>
      <w:r>
        <w:rPr>
          <w:rFonts w:hint="eastAsia"/>
          <w:b/>
          <w:bCs/>
          <w:lang w:val="en-US" w:eastAsia="zh-CN"/>
        </w:rPr>
        <w:t>设备和一年滤芯</w:t>
      </w:r>
      <w:r>
        <w:rPr>
          <w:rFonts w:hint="eastAsia"/>
          <w:b/>
          <w:bCs/>
        </w:rPr>
        <w:t>含税总价。</w:t>
      </w:r>
    </w:p>
    <w:p>
      <w:pPr>
        <w:numPr>
          <w:ilvl w:val="0"/>
          <w:numId w:val="0"/>
        </w:numPr>
        <w:jc w:val="left"/>
        <w:rPr>
          <w:rFonts w:hint="eastAsia"/>
        </w:rPr>
      </w:pPr>
      <w:r>
        <w:rPr>
          <w:rFonts w:hint="eastAsia"/>
        </w:rPr>
        <w:tab/>
      </w:r>
      <w:r>
        <w:rPr>
          <w:rFonts w:hint="eastAsia"/>
          <w:lang w:val="en-US" w:eastAsia="zh-CN"/>
        </w:rPr>
        <w:t>3</w:t>
      </w:r>
      <w:r>
        <w:rPr>
          <w:rFonts w:hint="eastAsia"/>
        </w:rPr>
        <w:t>.填写</w:t>
      </w:r>
      <w:bookmarkStart w:id="4" w:name="_Hlk138090418"/>
      <w:r>
        <w:rPr>
          <w:rFonts w:hint="eastAsia"/>
        </w:rPr>
        <w:t>公司所经营的适用于本项目的所有空气净化设备品牌及功能说明、产品图片。</w:t>
      </w:r>
      <w:bookmarkEnd w:id="4"/>
    </w:p>
    <w:p>
      <w:pPr>
        <w:widowControl/>
        <w:jc w:val="left"/>
        <w:rPr>
          <w:rFonts w:ascii="Calibri" w:hAnsi="Calibri" w:eastAsia="宋体" w:cs="Calibri"/>
          <w:szCs w:val="21"/>
        </w:rPr>
      </w:pPr>
    </w:p>
    <w:p>
      <w:pPr>
        <w:wordWrap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Hans"/>
        </w:rPr>
        <w:t>报价人</w:t>
      </w:r>
      <w:r>
        <w:rPr>
          <w:rFonts w:hint="eastAsia" w:ascii="仿宋_GB2312" w:hAnsi="仿宋_GB2312" w:eastAsia="仿宋_GB2312" w:cs="仿宋_GB2312"/>
          <w:sz w:val="28"/>
          <w:szCs w:val="28"/>
        </w:rPr>
        <w:t xml:space="preserve">（盖章）：                </w:t>
      </w:r>
    </w:p>
    <w:p>
      <w:pPr>
        <w:wordWrap w:val="0"/>
        <w:spacing w:line="560" w:lineRule="exact"/>
        <w:ind w:firstLine="3360" w:firstLineChars="1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联系</w:t>
      </w:r>
      <w:r>
        <w:rPr>
          <w:rFonts w:hint="eastAsia" w:ascii="仿宋_GB2312" w:hAnsi="仿宋_GB2312" w:eastAsia="仿宋_GB2312" w:cs="仿宋_GB2312"/>
          <w:sz w:val="28"/>
          <w:szCs w:val="28"/>
        </w:rPr>
        <w:t xml:space="preserve">人：                       </w:t>
      </w:r>
    </w:p>
    <w:p>
      <w:pPr>
        <w:wordWrap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联系</w:t>
      </w:r>
      <w:r>
        <w:rPr>
          <w:rFonts w:hint="eastAsia" w:ascii="仿宋_GB2312" w:hAnsi="仿宋_GB2312" w:eastAsia="仿宋_GB2312" w:cs="仿宋_GB2312"/>
          <w:sz w:val="28"/>
          <w:szCs w:val="28"/>
          <w:lang w:eastAsia="zh-Hans"/>
        </w:rPr>
        <w:t>方式</w:t>
      </w:r>
      <w:r>
        <w:rPr>
          <w:rFonts w:hint="eastAsia" w:ascii="仿宋_GB2312" w:hAnsi="仿宋_GB2312" w:eastAsia="仿宋_GB2312" w:cs="仿宋_GB2312"/>
          <w:sz w:val="28"/>
          <w:szCs w:val="28"/>
        </w:rPr>
        <w:t xml:space="preserve">：                     </w:t>
      </w:r>
    </w:p>
    <w:p>
      <w:pPr>
        <w:spacing w:after="120"/>
        <w:ind w:firstLine="4760" w:firstLineChars="17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 xml:space="preserve">日期：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Hans"/>
        </w:rPr>
        <w:t xml:space="preserve"> 年   月   日</w:t>
      </w:r>
      <w:r>
        <w:rPr>
          <w:rFonts w:hint="eastAsia" w:ascii="仿宋_GB2312" w:hAnsi="仿宋_GB2312" w:eastAsia="仿宋_GB2312" w:cs="仿宋_GB2312"/>
          <w:sz w:val="28"/>
          <w:szCs w:val="28"/>
        </w:rPr>
        <w:t xml:space="preserve">  </w:t>
      </w:r>
    </w:p>
    <w:p>
      <w:pPr>
        <w:pStyle w:val="3"/>
        <w:rPr>
          <w:rFonts w:ascii="仿宋_GB2312" w:hAnsi="仿宋_GB2312" w:eastAsia="仿宋_GB2312" w:cs="仿宋_GB2312"/>
          <w:sz w:val="28"/>
          <w:szCs w:val="28"/>
        </w:rPr>
      </w:pPr>
    </w:p>
    <w:p>
      <w:pPr>
        <w:pStyle w:val="23"/>
        <w:rPr>
          <w:rFonts w:hAnsi="宋体"/>
          <w:sz w:val="24"/>
          <w:szCs w:val="24"/>
          <w:lang w:val="zh-CN"/>
        </w:rPr>
      </w:pPr>
      <w:r>
        <w:rPr>
          <w:rFonts w:hint="eastAsia"/>
        </w:rPr>
        <w:t>产品及配件价格表</w:t>
      </w:r>
    </w:p>
    <w:tbl>
      <w:tblPr>
        <w:tblStyle w:val="11"/>
        <w:tblW w:w="14592" w:type="dxa"/>
        <w:tblInd w:w="93" w:type="dxa"/>
        <w:tblLayout w:type="fixed"/>
        <w:tblCellMar>
          <w:top w:w="0" w:type="dxa"/>
          <w:left w:w="108" w:type="dxa"/>
          <w:bottom w:w="0" w:type="dxa"/>
          <w:right w:w="108" w:type="dxa"/>
        </w:tblCellMar>
      </w:tblPr>
      <w:tblGrid>
        <w:gridCol w:w="2425"/>
        <w:gridCol w:w="3750"/>
        <w:gridCol w:w="2917"/>
        <w:gridCol w:w="5500"/>
      </w:tblGrid>
      <w:tr>
        <w:tblPrEx>
          <w:tblCellMar>
            <w:top w:w="0" w:type="dxa"/>
            <w:left w:w="108" w:type="dxa"/>
            <w:bottom w:w="0" w:type="dxa"/>
            <w:right w:w="108" w:type="dxa"/>
          </w:tblCellMar>
        </w:tblPrEx>
        <w:trPr>
          <w:trHeight w:val="962" w:hRule="atLeast"/>
        </w:trPr>
        <w:tc>
          <w:tcPr>
            <w:tcW w:w="242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品名</w:t>
            </w:r>
          </w:p>
        </w:tc>
        <w:tc>
          <w:tcPr>
            <w:tcW w:w="3750"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数量</w:t>
            </w:r>
          </w:p>
        </w:tc>
        <w:tc>
          <w:tcPr>
            <w:tcW w:w="2917"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价格</w:t>
            </w:r>
          </w:p>
        </w:tc>
        <w:tc>
          <w:tcPr>
            <w:tcW w:w="5500"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备注</w:t>
            </w:r>
          </w:p>
        </w:tc>
      </w:tr>
      <w:tr>
        <w:tblPrEx>
          <w:tblCellMar>
            <w:top w:w="0" w:type="dxa"/>
            <w:left w:w="108" w:type="dxa"/>
            <w:bottom w:w="0" w:type="dxa"/>
            <w:right w:w="108" w:type="dxa"/>
          </w:tblCellMar>
        </w:tblPrEx>
        <w:trPr>
          <w:trHeight w:val="372" w:hRule="atLeast"/>
        </w:trPr>
        <w:tc>
          <w:tcPr>
            <w:tcW w:w="2425" w:type="dxa"/>
            <w:tcBorders>
              <w:top w:val="single" w:color="000000" w:sz="8" w:space="0"/>
              <w:left w:val="single" w:color="000000" w:sz="8" w:space="0"/>
              <w:bottom w:val="single" w:color="auto" w:sz="4" w:space="0"/>
              <w:right w:val="single" w:color="000000" w:sz="8" w:space="0"/>
            </w:tcBorders>
            <w:noWrap/>
            <w:vAlign w:val="bottom"/>
          </w:tcPr>
          <w:p>
            <w:pPr>
              <w:jc w:val="center"/>
              <w:rPr>
                <w:rFonts w:ascii="宋体" w:hAnsi="宋体" w:cs="宋体"/>
                <w:color w:val="000000"/>
                <w:sz w:val="22"/>
              </w:rPr>
            </w:pPr>
            <w:r>
              <w:rPr>
                <w:rFonts w:hint="eastAsia" w:ascii="黑体" w:hAnsi="宋体" w:eastAsia="黑体" w:cs="黑体"/>
                <w:color w:val="000000"/>
                <w:kern w:val="0"/>
                <w:sz w:val="24"/>
                <w:szCs w:val="24"/>
                <w:lang w:bidi="ar"/>
              </w:rPr>
              <w:t>空气净化器品牌</w:t>
            </w:r>
          </w:p>
        </w:tc>
        <w:tc>
          <w:tcPr>
            <w:tcW w:w="3750"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2917" w:type="dxa"/>
            <w:tcBorders>
              <w:top w:val="single" w:color="000000" w:sz="8" w:space="0"/>
              <w:left w:val="single" w:color="000000" w:sz="8" w:space="0"/>
              <w:bottom w:val="single" w:color="auto" w:sz="4" w:space="0"/>
              <w:right w:val="single" w:color="000000" w:sz="8" w:space="0"/>
            </w:tcBorders>
            <w:noWrap/>
            <w:vAlign w:val="bottom"/>
          </w:tcPr>
          <w:p>
            <w:pPr>
              <w:rPr>
                <w:rFonts w:ascii="黑体" w:hAnsi="宋体" w:eastAsia="黑体" w:cs="黑体"/>
                <w:color w:val="000000"/>
                <w:sz w:val="24"/>
                <w:szCs w:val="24"/>
              </w:rPr>
            </w:pPr>
          </w:p>
        </w:tc>
        <w:tc>
          <w:tcPr>
            <w:tcW w:w="5500" w:type="dxa"/>
            <w:tcBorders>
              <w:top w:val="single" w:color="000000" w:sz="8" w:space="0"/>
              <w:left w:val="single" w:color="000000" w:sz="8" w:space="0"/>
              <w:bottom w:val="single" w:color="auto" w:sz="4" w:space="0"/>
              <w:right w:val="single" w:color="000000" w:sz="8" w:space="0"/>
            </w:tcBorders>
            <w:noWrap/>
            <w:vAlign w:val="center"/>
          </w:tcPr>
          <w:p>
            <w:pPr>
              <w:jc w:val="center"/>
              <w:rPr>
                <w:rFonts w:ascii="黑体" w:hAnsi="宋体" w:eastAsia="黑体" w:cs="黑体"/>
                <w:color w:val="000000"/>
                <w:sz w:val="24"/>
                <w:szCs w:val="24"/>
              </w:rPr>
            </w:pPr>
          </w:p>
        </w:tc>
      </w:tr>
      <w:tr>
        <w:tblPrEx>
          <w:tblCellMar>
            <w:top w:w="0" w:type="dxa"/>
            <w:left w:w="108" w:type="dxa"/>
            <w:bottom w:w="0" w:type="dxa"/>
            <w:right w:w="108" w:type="dxa"/>
          </w:tblCellMar>
        </w:tblPrEx>
        <w:trPr>
          <w:trHeight w:val="216" w:hRule="atLeast"/>
        </w:trPr>
        <w:tc>
          <w:tcPr>
            <w:tcW w:w="2425" w:type="dxa"/>
            <w:tcBorders>
              <w:top w:val="single" w:color="auto" w:sz="4" w:space="0"/>
              <w:left w:val="single" w:color="000000" w:sz="8" w:space="0"/>
              <w:bottom w:val="single" w:color="auto" w:sz="4" w:space="0"/>
              <w:right w:val="single" w:color="000000" w:sz="8" w:space="0"/>
            </w:tcBorders>
            <w:noWrap/>
            <w:vAlign w:val="bottom"/>
          </w:tcPr>
          <w:p>
            <w:pPr>
              <w:jc w:val="center"/>
              <w:rPr>
                <w:rFonts w:ascii="宋体" w:hAnsi="宋体" w:cs="宋体"/>
                <w:color w:val="000000"/>
                <w:sz w:val="22"/>
              </w:rPr>
            </w:pPr>
            <w:r>
              <w:rPr>
                <w:rFonts w:hint="eastAsia" w:ascii="黑体" w:hAnsi="宋体" w:eastAsia="黑体" w:cs="黑体"/>
                <w:color w:val="000000"/>
                <w:kern w:val="0"/>
                <w:sz w:val="24"/>
                <w:szCs w:val="24"/>
                <w:lang w:bidi="ar"/>
              </w:rPr>
              <w:t>滤芯型号</w:t>
            </w:r>
          </w:p>
        </w:tc>
        <w:tc>
          <w:tcPr>
            <w:tcW w:w="3750" w:type="dxa"/>
            <w:tcBorders>
              <w:top w:val="single" w:color="auto" w:sz="4" w:space="0"/>
              <w:left w:val="single" w:color="000000" w:sz="8" w:space="0"/>
              <w:bottom w:val="single" w:color="000000" w:sz="8"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2917" w:type="dxa"/>
            <w:tcBorders>
              <w:top w:val="single" w:color="auto" w:sz="4" w:space="0"/>
              <w:left w:val="single" w:color="000000" w:sz="8" w:space="0"/>
              <w:bottom w:val="single" w:color="000000" w:sz="8" w:space="0"/>
              <w:right w:val="single" w:color="000000" w:sz="8" w:space="0"/>
            </w:tcBorders>
            <w:noWrap/>
            <w:vAlign w:val="bottom"/>
          </w:tcPr>
          <w:p>
            <w:pPr>
              <w:rPr>
                <w:rFonts w:ascii="黑体" w:hAnsi="宋体" w:eastAsia="黑体" w:cs="黑体"/>
                <w:color w:val="000000"/>
                <w:sz w:val="24"/>
                <w:szCs w:val="24"/>
              </w:rPr>
            </w:pPr>
          </w:p>
        </w:tc>
        <w:tc>
          <w:tcPr>
            <w:tcW w:w="5500" w:type="dxa"/>
            <w:tcBorders>
              <w:top w:val="single" w:color="auto" w:sz="4" w:space="0"/>
              <w:left w:val="single" w:color="000000" w:sz="8" w:space="0"/>
              <w:bottom w:val="single" w:color="000000" w:sz="8" w:space="0"/>
              <w:right w:val="single" w:color="000000" w:sz="8" w:space="0"/>
            </w:tcBorders>
            <w:noWrap/>
            <w:vAlign w:val="top"/>
          </w:tcPr>
          <w:p>
            <w:pPr>
              <w:jc w:val="center"/>
              <w:rPr>
                <w:rFonts w:ascii="黑体" w:hAnsi="宋体" w:eastAsia="黑体" w:cs="黑体"/>
                <w:color w:val="000000"/>
                <w:sz w:val="24"/>
                <w:szCs w:val="24"/>
              </w:rPr>
            </w:pPr>
          </w:p>
        </w:tc>
      </w:tr>
      <w:tr>
        <w:tblPrEx>
          <w:tblCellMar>
            <w:top w:w="0" w:type="dxa"/>
            <w:left w:w="108" w:type="dxa"/>
            <w:bottom w:w="0" w:type="dxa"/>
            <w:right w:w="108" w:type="dxa"/>
          </w:tblCellMar>
        </w:tblPrEx>
        <w:trPr>
          <w:trHeight w:val="252" w:hRule="atLeast"/>
        </w:trPr>
        <w:tc>
          <w:tcPr>
            <w:tcW w:w="2425" w:type="dxa"/>
            <w:tcBorders>
              <w:top w:val="single" w:color="auto" w:sz="4" w:space="0"/>
              <w:left w:val="single" w:color="000000" w:sz="8" w:space="0"/>
              <w:bottom w:val="single" w:color="auto" w:sz="4" w:space="0"/>
              <w:right w:val="single" w:color="000000" w:sz="8" w:space="0"/>
            </w:tcBorders>
            <w:noWrap/>
            <w:vAlign w:val="bottom"/>
          </w:tcPr>
          <w:p>
            <w:pPr>
              <w:jc w:val="center"/>
              <w:rPr>
                <w:rFonts w:ascii="宋体" w:hAnsi="宋体" w:cs="宋体"/>
                <w:color w:val="000000"/>
                <w:sz w:val="22"/>
              </w:rPr>
            </w:pPr>
            <w:r>
              <w:rPr>
                <w:rFonts w:hint="eastAsia" w:ascii="黑体" w:hAnsi="宋体" w:eastAsia="黑体" w:cs="黑体"/>
                <w:color w:val="000000"/>
                <w:kern w:val="0"/>
                <w:sz w:val="24"/>
                <w:szCs w:val="24"/>
                <w:lang w:bidi="ar"/>
              </w:rPr>
              <w:t>其他配件.....</w:t>
            </w:r>
          </w:p>
        </w:tc>
        <w:tc>
          <w:tcPr>
            <w:tcW w:w="3750"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textAlignment w:val="center"/>
              <w:rPr>
                <w:rFonts w:ascii="黑体" w:hAnsi="宋体" w:eastAsia="黑体" w:cs="黑体"/>
                <w:color w:val="000000"/>
                <w:sz w:val="24"/>
                <w:szCs w:val="24"/>
              </w:rPr>
            </w:pPr>
          </w:p>
        </w:tc>
        <w:tc>
          <w:tcPr>
            <w:tcW w:w="2917" w:type="dxa"/>
            <w:tcBorders>
              <w:top w:val="single" w:color="000000" w:sz="8" w:space="0"/>
              <w:left w:val="single" w:color="000000" w:sz="8" w:space="0"/>
              <w:bottom w:val="single" w:color="auto" w:sz="4" w:space="0"/>
              <w:right w:val="single" w:color="000000" w:sz="8" w:space="0"/>
            </w:tcBorders>
            <w:noWrap/>
            <w:vAlign w:val="center"/>
          </w:tcPr>
          <w:p>
            <w:pPr>
              <w:jc w:val="center"/>
              <w:rPr>
                <w:rFonts w:ascii="黑体" w:hAnsi="宋体" w:eastAsia="黑体" w:cs="黑体"/>
                <w:color w:val="000000"/>
                <w:sz w:val="24"/>
                <w:szCs w:val="24"/>
              </w:rPr>
            </w:pPr>
          </w:p>
        </w:tc>
        <w:tc>
          <w:tcPr>
            <w:tcW w:w="5500" w:type="dxa"/>
            <w:tcBorders>
              <w:top w:val="single" w:color="000000" w:sz="8" w:space="0"/>
              <w:left w:val="single" w:color="000000" w:sz="8" w:space="0"/>
              <w:bottom w:val="single" w:color="auto" w:sz="4" w:space="0"/>
              <w:right w:val="single" w:color="000000" w:sz="8" w:space="0"/>
            </w:tcBorders>
            <w:noWrap/>
            <w:vAlign w:val="top"/>
          </w:tcPr>
          <w:p>
            <w:pPr>
              <w:jc w:val="center"/>
              <w:rPr>
                <w:rFonts w:ascii="黑体" w:hAnsi="宋体" w:eastAsia="黑体" w:cs="黑体"/>
                <w:color w:val="000000"/>
                <w:sz w:val="24"/>
                <w:szCs w:val="24"/>
              </w:rPr>
            </w:pPr>
          </w:p>
        </w:tc>
      </w:tr>
      <w:tr>
        <w:tblPrEx>
          <w:tblCellMar>
            <w:top w:w="0" w:type="dxa"/>
            <w:left w:w="108" w:type="dxa"/>
            <w:bottom w:w="0" w:type="dxa"/>
            <w:right w:w="108" w:type="dxa"/>
          </w:tblCellMar>
        </w:tblPrEx>
        <w:trPr>
          <w:trHeight w:val="592" w:hRule="atLeast"/>
        </w:trPr>
        <w:tc>
          <w:tcPr>
            <w:tcW w:w="242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税率</w:t>
            </w:r>
          </w:p>
        </w:tc>
        <w:tc>
          <w:tcPr>
            <w:tcW w:w="12167"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黑体" w:hAnsi="宋体" w:eastAsia="黑体" w:cs="黑体"/>
                <w:color w:val="000000"/>
                <w:sz w:val="24"/>
                <w:szCs w:val="24"/>
              </w:rPr>
            </w:pPr>
          </w:p>
        </w:tc>
      </w:tr>
      <w:tr>
        <w:tblPrEx>
          <w:tblCellMar>
            <w:top w:w="0" w:type="dxa"/>
            <w:left w:w="108" w:type="dxa"/>
            <w:bottom w:w="0" w:type="dxa"/>
            <w:right w:w="108" w:type="dxa"/>
          </w:tblCellMar>
        </w:tblPrEx>
        <w:trPr>
          <w:trHeight w:val="524" w:hRule="atLeast"/>
        </w:trPr>
        <w:tc>
          <w:tcPr>
            <w:tcW w:w="242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其他</w:t>
            </w:r>
          </w:p>
        </w:tc>
        <w:tc>
          <w:tcPr>
            <w:tcW w:w="12167" w:type="dxa"/>
            <w:gridSpan w:val="3"/>
            <w:tcBorders>
              <w:top w:val="single" w:color="000000" w:sz="8" w:space="0"/>
              <w:left w:val="single" w:color="000000" w:sz="8" w:space="0"/>
              <w:bottom w:val="single" w:color="000000" w:sz="8" w:space="0"/>
              <w:right w:val="single" w:color="000000" w:sz="8" w:space="0"/>
            </w:tcBorders>
            <w:noWrap/>
            <w:vAlign w:val="bottom"/>
          </w:tcPr>
          <w:p>
            <w:pPr>
              <w:jc w:val="center"/>
              <w:rPr>
                <w:rFonts w:ascii="黑体" w:hAnsi="宋体" w:eastAsia="黑体" w:cs="黑体"/>
                <w:color w:val="000000"/>
                <w:sz w:val="22"/>
              </w:rPr>
            </w:pPr>
          </w:p>
        </w:tc>
      </w:tr>
    </w:tbl>
    <w:p>
      <w:pPr>
        <w:jc w:val="left"/>
        <w:rPr>
          <w:rFonts w:hint="eastAsia"/>
        </w:rPr>
      </w:pPr>
      <w:r>
        <w:rPr>
          <w:rFonts w:hint="eastAsia"/>
        </w:rPr>
        <w:t>注：1.报价为含税总价。</w:t>
      </w:r>
    </w:p>
    <w:p>
      <w:pPr>
        <w:pStyle w:val="8"/>
        <w:rPr>
          <w:rFonts w:hint="default" w:eastAsia="宋体"/>
          <w:lang w:val="en-US" w:eastAsia="zh-CN"/>
        </w:rPr>
      </w:pPr>
      <w:r>
        <w:rPr>
          <w:rFonts w:hint="eastAsia"/>
          <w:lang w:val="en-US" w:eastAsia="zh-CN"/>
        </w:rPr>
        <w:t xml:space="preserve">    2.滤芯需标明使用期限。</w:t>
      </w:r>
    </w:p>
    <w:p>
      <w:pPr>
        <w:sectPr>
          <w:pgSz w:w="16838" w:h="11906" w:orient="landscape"/>
          <w:pgMar w:top="1134" w:right="1134" w:bottom="1134" w:left="1134" w:header="851" w:footer="992" w:gutter="0"/>
          <w:cols w:space="720" w:num="1"/>
          <w:docGrid w:type="lines" w:linePitch="312" w:charSpace="0"/>
        </w:sectPr>
      </w:pPr>
    </w:p>
    <w:p>
      <w:pPr>
        <w:spacing w:after="120"/>
        <w:rPr>
          <w:rFonts w:ascii="黑体" w:hAnsi="黑体" w:eastAsia="黑体" w:cs="Calibri"/>
          <w:sz w:val="32"/>
          <w:szCs w:val="32"/>
        </w:rPr>
      </w:pPr>
      <w:r>
        <w:rPr>
          <w:rFonts w:hint="eastAsia" w:ascii="黑体" w:hAnsi="黑体" w:eastAsia="黑体" w:cs="Calibri"/>
          <w:sz w:val="32"/>
          <w:szCs w:val="32"/>
        </w:rPr>
        <w:t>附件</w:t>
      </w:r>
      <w:r>
        <w:rPr>
          <w:rFonts w:hint="eastAsia" w:ascii="黑体" w:hAnsi="黑体" w:eastAsia="黑体" w:cs="Calibri"/>
          <w:sz w:val="32"/>
          <w:szCs w:val="32"/>
          <w:lang w:val="en-US" w:eastAsia="zh-CN"/>
        </w:rPr>
        <w:t>7</w:t>
      </w:r>
    </w:p>
    <w:p>
      <w:pPr>
        <w:widowControl/>
        <w:jc w:val="center"/>
        <w:rPr>
          <w:rFonts w:ascii="微软雅黑" w:hAnsi="微软雅黑" w:eastAsia="微软雅黑" w:cs="微软雅黑"/>
          <w:sz w:val="44"/>
          <w:szCs w:val="44"/>
          <w:lang w:eastAsia="zh-Hans"/>
        </w:rPr>
      </w:pPr>
      <w:r>
        <w:rPr>
          <w:rFonts w:hint="eastAsia" w:ascii="微软雅黑" w:hAnsi="微软雅黑" w:eastAsia="微软雅黑" w:cs="微软雅黑"/>
          <w:sz w:val="44"/>
          <w:szCs w:val="44"/>
          <w:lang w:eastAsia="zh-Hans"/>
        </w:rPr>
        <w:t>项目团队配备人员一览表</w:t>
      </w:r>
    </w:p>
    <w:p>
      <w:pPr>
        <w:spacing w:after="120"/>
        <w:rPr>
          <w:rFonts w:ascii="Calibri" w:hAnsi="Calibri" w:eastAsia="宋体" w:cs="Calibri"/>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696"/>
        <w:gridCol w:w="976"/>
        <w:gridCol w:w="3680"/>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top"/>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8087" w:type="dxa"/>
            <w:gridSpan w:val="4"/>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上实T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楼空气净化器购置项目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top"/>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96" w:type="dxa"/>
            <w:noWrap w:val="0"/>
            <w:vAlign w:val="top"/>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76" w:type="dxa"/>
            <w:noWrap w:val="0"/>
            <w:vAlign w:val="top"/>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3680" w:type="dxa"/>
            <w:noWrap w:val="0"/>
            <w:vAlign w:val="top"/>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本项目中提供服务内容</w:t>
            </w:r>
          </w:p>
        </w:tc>
        <w:tc>
          <w:tcPr>
            <w:tcW w:w="1735" w:type="dxa"/>
            <w:noWrap w:val="0"/>
            <w:vAlign w:val="top"/>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973" w:type="dxa"/>
            <w:noWrap w:val="0"/>
            <w:vAlign w:val="top"/>
          </w:tcPr>
          <w:p>
            <w:pPr>
              <w:spacing w:line="560" w:lineRule="exact"/>
              <w:jc w:val="center"/>
              <w:rPr>
                <w:rFonts w:ascii="仿宋_GB2312" w:hAnsi="仿宋_GB2312" w:eastAsia="仿宋_GB2312" w:cs="仿宋_GB2312"/>
                <w:sz w:val="28"/>
                <w:szCs w:val="28"/>
              </w:rPr>
            </w:pPr>
          </w:p>
        </w:tc>
        <w:tc>
          <w:tcPr>
            <w:tcW w:w="1696" w:type="dxa"/>
            <w:noWrap w:val="0"/>
            <w:vAlign w:val="top"/>
          </w:tcPr>
          <w:p>
            <w:pPr>
              <w:spacing w:line="560" w:lineRule="exact"/>
              <w:jc w:val="center"/>
              <w:rPr>
                <w:rFonts w:ascii="仿宋_GB2312" w:hAnsi="仿宋_GB2312" w:eastAsia="仿宋_GB2312" w:cs="仿宋_GB2312"/>
                <w:sz w:val="28"/>
                <w:szCs w:val="28"/>
              </w:rPr>
            </w:pPr>
          </w:p>
        </w:tc>
        <w:tc>
          <w:tcPr>
            <w:tcW w:w="976" w:type="dxa"/>
            <w:noWrap w:val="0"/>
            <w:vAlign w:val="top"/>
          </w:tcPr>
          <w:p>
            <w:pPr>
              <w:spacing w:line="560" w:lineRule="exact"/>
              <w:jc w:val="center"/>
              <w:rPr>
                <w:rFonts w:ascii="仿宋_GB2312" w:hAnsi="仿宋_GB2312" w:eastAsia="仿宋_GB2312" w:cs="仿宋_GB2312"/>
                <w:sz w:val="28"/>
                <w:szCs w:val="28"/>
              </w:rPr>
            </w:pPr>
          </w:p>
        </w:tc>
        <w:tc>
          <w:tcPr>
            <w:tcW w:w="3680" w:type="dxa"/>
            <w:noWrap w:val="0"/>
            <w:vAlign w:val="top"/>
          </w:tcPr>
          <w:p>
            <w:pPr>
              <w:spacing w:line="560" w:lineRule="exact"/>
              <w:jc w:val="center"/>
              <w:rPr>
                <w:rFonts w:ascii="仿宋_GB2312" w:hAnsi="仿宋_GB2312" w:eastAsia="仿宋_GB2312" w:cs="仿宋_GB2312"/>
                <w:sz w:val="28"/>
                <w:szCs w:val="28"/>
              </w:rPr>
            </w:pPr>
          </w:p>
        </w:tc>
        <w:tc>
          <w:tcPr>
            <w:tcW w:w="1735" w:type="dxa"/>
            <w:noWrap w:val="0"/>
            <w:vAlign w:val="top"/>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973" w:type="dxa"/>
            <w:noWrap w:val="0"/>
            <w:vAlign w:val="top"/>
          </w:tcPr>
          <w:p>
            <w:pPr>
              <w:spacing w:line="560" w:lineRule="exact"/>
              <w:jc w:val="center"/>
              <w:rPr>
                <w:rFonts w:ascii="仿宋_GB2312" w:hAnsi="仿宋_GB2312" w:eastAsia="仿宋_GB2312" w:cs="仿宋_GB2312"/>
                <w:sz w:val="28"/>
                <w:szCs w:val="28"/>
              </w:rPr>
            </w:pPr>
          </w:p>
        </w:tc>
        <w:tc>
          <w:tcPr>
            <w:tcW w:w="1696" w:type="dxa"/>
            <w:noWrap w:val="0"/>
            <w:vAlign w:val="top"/>
          </w:tcPr>
          <w:p>
            <w:pPr>
              <w:spacing w:line="560" w:lineRule="exact"/>
              <w:jc w:val="center"/>
              <w:rPr>
                <w:rFonts w:ascii="仿宋_GB2312" w:hAnsi="仿宋_GB2312" w:eastAsia="仿宋_GB2312" w:cs="仿宋_GB2312"/>
                <w:sz w:val="28"/>
                <w:szCs w:val="28"/>
              </w:rPr>
            </w:pPr>
          </w:p>
        </w:tc>
        <w:tc>
          <w:tcPr>
            <w:tcW w:w="976" w:type="dxa"/>
            <w:noWrap w:val="0"/>
            <w:vAlign w:val="top"/>
          </w:tcPr>
          <w:p>
            <w:pPr>
              <w:spacing w:line="560" w:lineRule="exact"/>
              <w:jc w:val="center"/>
              <w:rPr>
                <w:rFonts w:ascii="仿宋_GB2312" w:hAnsi="仿宋_GB2312" w:eastAsia="仿宋_GB2312" w:cs="仿宋_GB2312"/>
                <w:sz w:val="28"/>
                <w:szCs w:val="28"/>
              </w:rPr>
            </w:pPr>
          </w:p>
        </w:tc>
        <w:tc>
          <w:tcPr>
            <w:tcW w:w="3680" w:type="dxa"/>
            <w:noWrap w:val="0"/>
            <w:vAlign w:val="top"/>
          </w:tcPr>
          <w:p>
            <w:pPr>
              <w:spacing w:line="560" w:lineRule="exact"/>
              <w:jc w:val="center"/>
              <w:rPr>
                <w:rFonts w:ascii="仿宋_GB2312" w:hAnsi="仿宋_GB2312" w:eastAsia="仿宋_GB2312" w:cs="仿宋_GB2312"/>
                <w:sz w:val="28"/>
                <w:szCs w:val="28"/>
              </w:rPr>
            </w:pPr>
          </w:p>
        </w:tc>
        <w:tc>
          <w:tcPr>
            <w:tcW w:w="1735" w:type="dxa"/>
            <w:noWrap w:val="0"/>
            <w:vAlign w:val="top"/>
          </w:tcPr>
          <w:p>
            <w:pPr>
              <w:spacing w:line="560" w:lineRule="exact"/>
              <w:jc w:val="center"/>
              <w:rPr>
                <w:rFonts w:ascii="仿宋_GB2312" w:hAnsi="仿宋_GB2312" w:eastAsia="仿宋_GB2312" w:cs="仿宋_GB2312"/>
                <w:sz w:val="28"/>
                <w:szCs w:val="28"/>
              </w:rPr>
            </w:pPr>
          </w:p>
        </w:tc>
      </w:tr>
    </w:tbl>
    <w:p>
      <w:pPr>
        <w:spacing w:after="120"/>
        <w:rPr>
          <w:rFonts w:ascii="Calibri" w:hAnsi="Calibri" w:eastAsia="宋体" w:cs="Calibri"/>
          <w:szCs w:val="21"/>
        </w:rPr>
      </w:pPr>
    </w:p>
    <w:p>
      <w:pPr>
        <w:wordWrap w:val="0"/>
        <w:spacing w:line="560" w:lineRule="exact"/>
        <w:jc w:val="right"/>
        <w:rPr>
          <w:rFonts w:ascii="仿宋_GB2312" w:hAnsi="仿宋_GB2312" w:eastAsia="仿宋_GB2312" w:cs="仿宋_GB2312"/>
          <w:sz w:val="28"/>
          <w:szCs w:val="28"/>
        </w:rPr>
      </w:pPr>
      <w:r>
        <w:rPr>
          <w:rFonts w:ascii="仿宋_GB2312" w:hAnsi="仿宋_GB2312" w:eastAsia="仿宋_GB2312" w:cs="仿宋_GB2312"/>
          <w:sz w:val="28"/>
          <w:szCs w:val="28"/>
          <w:lang w:eastAsia="zh-Hans"/>
        </w:rPr>
        <w:t>报价人（盖章）</w:t>
      </w:r>
      <w:r>
        <w:rPr>
          <w:rFonts w:hint="eastAsia" w:ascii="仿宋_GB2312" w:hAnsi="仿宋_GB2312" w:eastAsia="仿宋_GB2312" w:cs="仿宋_GB2312"/>
          <w:sz w:val="28"/>
          <w:szCs w:val="28"/>
        </w:rPr>
        <w:t xml:space="preserve">：              </w:t>
      </w:r>
    </w:p>
    <w:p>
      <w:pPr>
        <w:spacing w:after="120"/>
        <w:jc w:val="right"/>
        <w:rPr>
          <w:rFonts w:ascii="Calibri" w:hAnsi="Calibri" w:eastAsia="宋体" w:cs="Calibri"/>
          <w:sz w:val="28"/>
          <w:szCs w:val="28"/>
          <w:lang w:eastAsia="zh-Hans"/>
        </w:rPr>
      </w:pPr>
    </w:p>
    <w:p>
      <w:pPr>
        <w:spacing w:line="560" w:lineRule="exact"/>
        <w:ind w:firstLine="5040" w:firstLineChars="1800"/>
        <w:jc w:val="right"/>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日期</w:t>
      </w:r>
      <w:r>
        <w:rPr>
          <w:rFonts w:ascii="仿宋_GB2312" w:hAnsi="仿宋_GB2312" w:eastAsia="仿宋_GB2312" w:cs="仿宋_GB2312"/>
          <w:sz w:val="28"/>
          <w:szCs w:val="28"/>
          <w:lang w:eastAsia="zh-Hans"/>
        </w:rPr>
        <w:t xml:space="preserve">：   </w:t>
      </w:r>
      <w:r>
        <w:rPr>
          <w:rFonts w:hint="eastAsia" w:ascii="仿宋_GB2312" w:hAnsi="仿宋_GB2312" w:eastAsia="仿宋_GB2312" w:cs="仿宋_GB2312"/>
          <w:sz w:val="28"/>
          <w:szCs w:val="28"/>
          <w:lang w:eastAsia="zh-Hans"/>
        </w:rPr>
        <w:t>年</w:t>
      </w:r>
      <w:r>
        <w:rPr>
          <w:rFonts w:ascii="仿宋_GB2312" w:hAnsi="仿宋_GB2312" w:eastAsia="仿宋_GB2312" w:cs="仿宋_GB2312"/>
          <w:sz w:val="28"/>
          <w:szCs w:val="28"/>
          <w:lang w:eastAsia="zh-Hans"/>
        </w:rPr>
        <w:t xml:space="preserve">   </w:t>
      </w:r>
      <w:r>
        <w:rPr>
          <w:rFonts w:hint="eastAsia" w:ascii="仿宋_GB2312" w:hAnsi="仿宋_GB2312" w:eastAsia="仿宋_GB2312" w:cs="仿宋_GB2312"/>
          <w:sz w:val="28"/>
          <w:szCs w:val="28"/>
          <w:lang w:eastAsia="zh-Hans"/>
        </w:rPr>
        <w:t>月</w:t>
      </w:r>
      <w:r>
        <w:rPr>
          <w:rFonts w:ascii="仿宋_GB2312" w:hAnsi="仿宋_GB2312" w:eastAsia="仿宋_GB2312" w:cs="仿宋_GB2312"/>
          <w:sz w:val="28"/>
          <w:szCs w:val="28"/>
          <w:lang w:eastAsia="zh-Hans"/>
        </w:rPr>
        <w:t xml:space="preserve">   </w:t>
      </w:r>
      <w:r>
        <w:rPr>
          <w:rFonts w:hint="eastAsia" w:ascii="仿宋_GB2312" w:hAnsi="仿宋_GB2312" w:eastAsia="仿宋_GB2312" w:cs="仿宋_GB2312"/>
          <w:sz w:val="28"/>
          <w:szCs w:val="28"/>
          <w:lang w:eastAsia="zh-Hans"/>
        </w:rPr>
        <w:t>日</w:t>
      </w:r>
    </w:p>
    <w:p>
      <w:pPr>
        <w:spacing w:after="120"/>
        <w:rPr>
          <w:rFonts w:ascii="Calibri" w:hAnsi="Calibri" w:eastAsia="仿宋_GB2312" w:cs="Calibri"/>
          <w:szCs w:val="21"/>
        </w:rPr>
      </w:pPr>
      <w:r>
        <w:rPr>
          <w:rFonts w:hint="eastAsia" w:ascii="仿宋_GB2312" w:hAnsi="仿宋_GB2312" w:eastAsia="仿宋_GB2312" w:cs="仿宋_GB2312"/>
          <w:sz w:val="28"/>
          <w:szCs w:val="28"/>
        </w:rPr>
        <w:t>（后附人员身份证正反面复印件）</w:t>
      </w:r>
    </w:p>
    <w:p>
      <w:pPr>
        <w:jc w:val="left"/>
        <w:rPr>
          <w:rFonts w:ascii="Calibri" w:hAnsi="Calibri" w:eastAsia="宋体" w:cs="Calibri"/>
          <w:szCs w:val="21"/>
        </w:rPr>
      </w:pPr>
    </w:p>
    <w:p>
      <w:pPr>
        <w:rPr>
          <w:rFonts w:ascii="黑体" w:hAnsi="黑体" w:eastAsia="黑体" w:cs="Calibri"/>
          <w:sz w:val="32"/>
          <w:szCs w:val="32"/>
        </w:rPr>
      </w:pPr>
    </w:p>
    <w:p>
      <w:pPr>
        <w:spacing w:line="560" w:lineRule="exact"/>
        <w:rPr>
          <w:rFonts w:ascii="仿宋_GB2312" w:hAnsi="仿宋" w:eastAsia="仿宋_GB2312"/>
          <w:b/>
          <w:sz w:val="32"/>
          <w:szCs w:val="32"/>
        </w:rPr>
      </w:pPr>
    </w:p>
    <w:p>
      <w:pPr>
        <w:spacing w:line="560" w:lineRule="exact"/>
        <w:rPr>
          <w:rFonts w:ascii="仿宋_GB2312" w:hAnsi="仿宋" w:eastAsia="仿宋_GB2312"/>
          <w:b/>
          <w:sz w:val="32"/>
          <w:szCs w:val="32"/>
        </w:rPr>
      </w:pPr>
    </w:p>
    <w:p>
      <w:pPr>
        <w:pStyle w:val="2"/>
        <w:ind w:left="0" w:leftChars="0" w:firstLine="0" w:firstLineChars="0"/>
      </w:pPr>
    </w:p>
    <w:p>
      <w:pPr>
        <w:pStyle w:val="2"/>
        <w:ind w:left="0" w:leftChars="0" w:firstLine="0" w:firstLineChars="0"/>
      </w:pPr>
    </w:p>
    <w:p>
      <w:pPr>
        <w:spacing w:line="56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pPr>
        <w:spacing w:line="560" w:lineRule="exact"/>
        <w:ind w:firstLine="640" w:firstLineChars="200"/>
        <w:jc w:val="center"/>
        <w:rPr>
          <w:rFonts w:ascii="宋体" w:hAnsi="宋体" w:cs="仿宋"/>
          <w:sz w:val="32"/>
          <w:szCs w:val="32"/>
        </w:rPr>
      </w:pPr>
      <w:r>
        <w:rPr>
          <w:rFonts w:hint="eastAsia" w:ascii="宋体" w:hAnsi="宋体" w:cs="仿宋"/>
          <w:sz w:val="32"/>
          <w:szCs w:val="32"/>
        </w:rPr>
        <w:t>报价文件包装袋密封件正面和封口格式</w:t>
      </w:r>
    </w:p>
    <w:p>
      <w:pPr>
        <w:spacing w:line="560" w:lineRule="exact"/>
        <w:ind w:firstLine="640" w:firstLineChars="200"/>
        <w:jc w:val="center"/>
        <w:rPr>
          <w:rFonts w:ascii="仿宋" w:hAnsi="仿宋" w:eastAsia="仿宋" w:cs="仿宋"/>
          <w:kern w:val="1"/>
          <w:sz w:val="32"/>
          <w:szCs w:val="32"/>
          <w:lang w:val="zh-CN"/>
        </w:rPr>
      </w:pPr>
      <w:r>
        <w:rPr>
          <w:rFonts w:hint="eastAsia" w:ascii="仿宋" w:hAnsi="仿宋" w:eastAsia="仿宋" w:cs="仿宋"/>
          <w:kern w:val="1"/>
          <w:sz w:val="32"/>
          <w:szCs w:val="32"/>
          <w:lang w:val="zh-CN"/>
        </w:rPr>
        <w:t>报价文件包装袋密封件正面格式</w:t>
      </w:r>
    </w:p>
    <w:tbl>
      <w:tblPr>
        <w:tblStyle w:val="11"/>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3" w:hRule="atLeast"/>
        </w:trPr>
        <w:tc>
          <w:tcPr>
            <w:tcW w:w="9260" w:type="dxa"/>
            <w:noWrap w:val="0"/>
            <w:vAlign w:val="top"/>
          </w:tcPr>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 xml:space="preserve">      </w:t>
            </w:r>
            <w:r>
              <w:rPr>
                <w:rFonts w:hint="eastAsia" w:ascii="仿宋" w:hAnsi="仿宋" w:eastAsia="仿宋_GB2312"/>
                <w:sz w:val="32"/>
                <w:szCs w:val="32"/>
              </w:rPr>
              <w:t>公司</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hint="default" w:ascii="仿宋_GB2312" w:eastAsia="仿宋" w:cs="黑体"/>
                <w:sz w:val="32"/>
                <w:szCs w:val="32"/>
                <w:lang w:val="en-US" w:eastAsia="zh-CN"/>
              </w:rPr>
            </w:pPr>
            <w:r>
              <w:rPr>
                <w:rFonts w:hint="eastAsia" w:ascii="仿宋" w:hAnsi="仿宋" w:eastAsia="仿宋" w:cs="仿宋"/>
                <w:color w:val="000000"/>
                <w:sz w:val="32"/>
                <w:szCs w:val="32"/>
              </w:rPr>
              <w:t>项目名称：</w:t>
            </w:r>
            <w:r>
              <w:rPr>
                <w:rFonts w:hint="eastAsia" w:ascii="方正小标宋_GBK" w:hAnsi="方正小标宋_GBK" w:eastAsia="方正小标宋_GBK" w:cs="方正小标宋_GBK"/>
                <w:sz w:val="44"/>
                <w:szCs w:val="44"/>
              </w:rPr>
              <w:t>上实T2楼空气净化器购置项目</w:t>
            </w:r>
            <w:r>
              <w:rPr>
                <w:rFonts w:hint="eastAsia" w:ascii="仿宋" w:hAnsi="仿宋" w:eastAsia="仿宋" w:cs="仿宋"/>
                <w:color w:val="000000"/>
                <w:sz w:val="32"/>
                <w:szCs w:val="32"/>
                <w:lang w:val="en-US" w:eastAsia="zh-CN"/>
              </w:rPr>
              <w:t xml:space="preserve">                     </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jc w:val="center"/>
              <w:rPr>
                <w:rFonts w:ascii="仿宋" w:hAnsi="仿宋" w:eastAsia="仿宋" w:cs="仿宋"/>
                <w:bCs/>
                <w:color w:val="000000"/>
                <w:sz w:val="32"/>
                <w:szCs w:val="32"/>
              </w:rPr>
            </w:pPr>
          </w:p>
          <w:p>
            <w:pPr>
              <w:spacing w:line="560" w:lineRule="exact"/>
              <w:ind w:firstLine="640" w:firstLineChars="200"/>
              <w:jc w:val="center"/>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w:t>
            </w:r>
            <w:r>
              <w:rPr>
                <w:rFonts w:hint="eastAsia" w:ascii="仿宋" w:hAnsi="仿宋" w:eastAsia="仿宋" w:cs="仿宋"/>
                <w:bCs/>
                <w:color w:val="000000"/>
                <w:sz w:val="32"/>
                <w:szCs w:val="32"/>
              </w:rPr>
              <w:t>报价文件</w:t>
            </w:r>
            <w:r>
              <w:rPr>
                <w:rFonts w:hint="eastAsia" w:ascii="仿宋" w:hAnsi="仿宋" w:eastAsia="仿宋" w:cs="仿宋"/>
                <w:bCs/>
                <w:color w:val="000000"/>
                <w:sz w:val="32"/>
                <w:szCs w:val="32"/>
                <w:lang w:val="zh-CN"/>
              </w:rPr>
              <w:t>）</w:t>
            </w:r>
          </w:p>
          <w:p>
            <w:pPr>
              <w:spacing w:line="560" w:lineRule="exact"/>
              <w:ind w:firstLine="640" w:firstLineChars="200"/>
              <w:jc w:val="center"/>
              <w:rPr>
                <w:rFonts w:ascii="仿宋" w:hAnsi="仿宋" w:eastAsia="仿宋" w:cs="仿宋"/>
                <w:bCs/>
                <w:color w:val="000000"/>
                <w:sz w:val="32"/>
                <w:szCs w:val="32"/>
                <w:lang w:val="zh-CN"/>
              </w:rPr>
            </w:pPr>
          </w:p>
          <w:p>
            <w:pPr>
              <w:spacing w:line="560" w:lineRule="exact"/>
              <w:ind w:firstLine="640" w:firstLineChars="200"/>
              <w:rPr>
                <w:rFonts w:ascii="仿宋" w:hAnsi="仿宋" w:eastAsia="仿宋" w:cs="仿宋"/>
                <w:bCs/>
                <w:color w:val="000000"/>
                <w:sz w:val="32"/>
                <w:szCs w:val="32"/>
                <w:lang w:val="zh-CN"/>
              </w:rPr>
            </w:pP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投标单位名称：</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投标单位地址：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年   月   日</w:t>
            </w:r>
          </w:p>
          <w:p>
            <w:pPr>
              <w:spacing w:line="560" w:lineRule="exact"/>
              <w:ind w:firstLine="640" w:firstLineChars="200"/>
              <w:jc w:val="center"/>
              <w:rPr>
                <w:rFonts w:ascii="仿宋" w:hAnsi="仿宋" w:eastAsia="仿宋" w:cs="仿宋"/>
                <w:color w:val="000000"/>
                <w:sz w:val="32"/>
                <w:szCs w:val="32"/>
              </w:rPr>
            </w:pPr>
          </w:p>
          <w:p>
            <w:pPr>
              <w:spacing w:line="560" w:lineRule="exact"/>
              <w:ind w:firstLine="640" w:firstLineChars="200"/>
              <w:jc w:val="center"/>
              <w:rPr>
                <w:rFonts w:ascii="仿宋" w:hAnsi="仿宋" w:eastAsia="仿宋" w:cs="仿宋"/>
                <w:color w:val="000000"/>
                <w:sz w:val="32"/>
                <w:szCs w:val="32"/>
              </w:rPr>
            </w:pPr>
          </w:p>
          <w:p>
            <w:pPr>
              <w:spacing w:line="560" w:lineRule="exact"/>
              <w:ind w:firstLine="640" w:firstLineChars="200"/>
              <w:jc w:val="center"/>
              <w:rPr>
                <w:rFonts w:ascii="仿宋_GB2312" w:hAnsi="仿宋" w:eastAsia="仿宋_GB2312" w:cs="仿宋"/>
                <w:color w:val="000000"/>
                <w:sz w:val="32"/>
                <w:szCs w:val="32"/>
              </w:rPr>
            </w:pPr>
            <w:r>
              <w:rPr>
                <w:rFonts w:hint="eastAsia" w:ascii="仿宋" w:hAnsi="仿宋" w:eastAsia="仿宋" w:cs="仿宋"/>
                <w:color w:val="000000"/>
                <w:sz w:val="32"/>
                <w:szCs w:val="32"/>
              </w:rPr>
              <w:t>加盖投标单位公章</w:t>
            </w:r>
          </w:p>
        </w:tc>
      </w:tr>
    </w:tbl>
    <w:p>
      <w:pPr>
        <w:spacing w:line="560" w:lineRule="exact"/>
        <w:ind w:firstLine="640" w:firstLineChars="200"/>
        <w:rPr>
          <w:rFonts w:ascii="仿宋_GB2312" w:hAnsi="仿宋" w:eastAsia="仿宋_GB2312" w:cs="仿宋"/>
          <w:color w:val="000000"/>
          <w:sz w:val="32"/>
          <w:szCs w:val="32"/>
        </w:rPr>
      </w:pPr>
    </w:p>
    <w:p>
      <w:pPr>
        <w:spacing w:line="560" w:lineRule="exact"/>
        <w:ind w:firstLine="640" w:firstLineChars="200"/>
        <w:rPr>
          <w:rFonts w:ascii="仿宋_GB2312" w:hAnsi="仿宋" w:eastAsia="仿宋_GB2312" w:cs="仿宋"/>
          <w:color w:val="000000"/>
          <w:sz w:val="32"/>
          <w:szCs w:val="32"/>
        </w:rPr>
      </w:pPr>
    </w:p>
    <w:p>
      <w:pPr>
        <w:spacing w:line="560" w:lineRule="exact"/>
        <w:ind w:firstLine="640" w:firstLineChars="200"/>
        <w:rPr>
          <w:rFonts w:ascii="仿宋_GB2312" w:hAnsi="仿宋" w:eastAsia="仿宋_GB2312" w:cs="仿宋"/>
          <w:color w:val="000000"/>
          <w:sz w:val="32"/>
          <w:szCs w:val="32"/>
        </w:rPr>
      </w:pPr>
    </w:p>
    <w:p>
      <w:pPr>
        <w:spacing w:line="56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报价文件包装袋密封件封口格式</w:t>
      </w:r>
    </w:p>
    <w:tbl>
      <w:tblPr>
        <w:tblStyle w:val="11"/>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noWrap w:val="0"/>
            <w:vAlign w:val="top"/>
          </w:tcPr>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请勿在202</w:t>
            </w:r>
            <w:r>
              <w:rPr>
                <w:rFonts w:ascii="仿宋" w:hAnsi="仿宋" w:eastAsia="仿宋" w:cs="仿宋"/>
                <w:color w:val="000000"/>
                <w:sz w:val="32"/>
                <w:szCs w:val="32"/>
              </w:rPr>
              <w:t>4</w:t>
            </w:r>
            <w:r>
              <w:rPr>
                <w:rFonts w:hint="eastAsia" w:ascii="仿宋" w:hAnsi="仿宋" w:eastAsia="仿宋" w:cs="仿宋"/>
                <w:color w:val="000000"/>
                <w:sz w:val="32"/>
                <w:szCs w:val="32"/>
              </w:rPr>
              <w:t>年  月  日   之前启封</w:t>
            </w:r>
          </w:p>
          <w:p>
            <w:pPr>
              <w:widowControl/>
              <w:spacing w:line="560" w:lineRule="exact"/>
              <w:ind w:firstLine="640" w:firstLineChars="200"/>
              <w:jc w:val="left"/>
              <w:rPr>
                <w:rFonts w:ascii="仿宋" w:hAnsi="仿宋" w:eastAsia="仿宋" w:cs="仿宋"/>
                <w:color w:val="000000"/>
                <w:kern w:val="0"/>
                <w:sz w:val="32"/>
                <w:szCs w:val="32"/>
              </w:rPr>
            </w:pPr>
          </w:p>
          <w:p>
            <w:pPr>
              <w:widowControl/>
              <w:spacing w:line="560" w:lineRule="exact"/>
              <w:ind w:firstLine="640" w:firstLineChars="200"/>
              <w:jc w:val="left"/>
              <w:rPr>
                <w:rFonts w:ascii="仿宋" w:hAnsi="仿宋" w:eastAsia="仿宋" w:cs="仿宋"/>
                <w:color w:val="000000"/>
                <w:kern w:val="0"/>
                <w:sz w:val="32"/>
                <w:szCs w:val="32"/>
              </w:rPr>
            </w:pPr>
          </w:p>
          <w:p>
            <w:pPr>
              <w:spacing w:line="56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加盖投标单位公章 </w:t>
            </w:r>
          </w:p>
          <w:p>
            <w:pPr>
              <w:spacing w:line="560" w:lineRule="exact"/>
              <w:ind w:firstLine="640" w:firstLineChars="200"/>
              <w:jc w:val="center"/>
              <w:rPr>
                <w:rFonts w:ascii="仿宋" w:hAnsi="仿宋" w:eastAsia="仿宋" w:cs="仿宋"/>
                <w:color w:val="000000"/>
                <w:sz w:val="32"/>
                <w:szCs w:val="32"/>
              </w:rPr>
            </w:pPr>
          </w:p>
        </w:tc>
      </w:tr>
    </w:tbl>
    <w:p>
      <w:pPr>
        <w:pStyle w:val="2"/>
        <w:ind w:left="0" w:leftChars="0" w:firstLine="0" w:firstLineChars="0"/>
      </w:pPr>
    </w:p>
    <w:p>
      <w:pPr>
        <w:pStyle w:val="2"/>
        <w:ind w:left="0" w:leftChars="0" w:firstLine="0" w:firstLineChars="0"/>
      </w:pPr>
    </w:p>
    <w:sectPr>
      <w:headerReference r:id="rId4" w:type="default"/>
      <w:footerReference r:id="rId5" w:type="default"/>
      <w:pgSz w:w="11906" w:h="16838"/>
      <w:pgMar w:top="2154" w:right="1417"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71008D-737F-43FE-BD02-5BE59112E1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359B8E-763C-48E9-B465-808D224108E2}"/>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A4282FA4-465C-4537-9EC4-BBBD2489F6DA}"/>
  </w:font>
  <w:font w:name="仿宋_GB2312">
    <w:panose1 w:val="02010609030101010101"/>
    <w:charset w:val="86"/>
    <w:family w:val="modern"/>
    <w:pitch w:val="default"/>
    <w:sig w:usb0="00000001" w:usb1="080E0000" w:usb2="00000000" w:usb3="00000000" w:csb0="00040000" w:csb1="00000000"/>
    <w:embedRegular r:id="rId4" w:fontKey="{D9AEF235-3EFD-4445-85C3-CE33EBC4A12B}"/>
  </w:font>
  <w:font w:name="仿宋">
    <w:panose1 w:val="02010609060101010101"/>
    <w:charset w:val="86"/>
    <w:family w:val="modern"/>
    <w:pitch w:val="default"/>
    <w:sig w:usb0="800002BF" w:usb1="38CF7CFA" w:usb2="00000016" w:usb3="00000000" w:csb0="00040001" w:csb1="00000000"/>
    <w:embedRegular r:id="rId5" w:fontKey="{AA534380-972D-4B12-AEDB-12E4BE0E6F96}"/>
  </w:font>
  <w:font w:name="文星黑体">
    <w:altName w:val="黑体"/>
    <w:panose1 w:val="00000000000000000000"/>
    <w:charset w:val="86"/>
    <w:family w:val="auto"/>
    <w:pitch w:val="default"/>
    <w:sig w:usb0="00000000" w:usb1="00000000" w:usb2="00000010" w:usb3="00000000" w:csb0="00040001" w:csb1="00000000"/>
    <w:embedRegular r:id="rId6" w:fontKey="{130F25BB-6AA5-42F1-B17E-F80B295D631E}"/>
  </w:font>
  <w:font w:name="方正仿宋_GB2312">
    <w:panose1 w:val="02000000000000000000"/>
    <w:charset w:val="86"/>
    <w:family w:val="auto"/>
    <w:pitch w:val="default"/>
    <w:sig w:usb0="A00002BF" w:usb1="184F6CFA" w:usb2="00000012" w:usb3="00000000" w:csb0="00040001" w:csb1="00000000"/>
    <w:embedRegular r:id="rId7" w:fontKey="{2388FA30-589F-417E-BA9B-E5A126F6438A}"/>
  </w:font>
  <w:font w:name="华文细黑">
    <w:panose1 w:val="02010600040101010101"/>
    <w:charset w:val="86"/>
    <w:family w:val="auto"/>
    <w:pitch w:val="default"/>
    <w:sig w:usb0="00000287" w:usb1="080F0000" w:usb2="00000000" w:usb3="00000000" w:csb0="0004009F" w:csb1="DFD70000"/>
    <w:embedRegular r:id="rId8" w:fontKey="{C0BBBBB0-D173-4AB2-85FA-5308D3777521}"/>
  </w:font>
  <w:font w:name="微软雅黑">
    <w:panose1 w:val="020B0503020204020204"/>
    <w:charset w:val="86"/>
    <w:family w:val="auto"/>
    <w:pitch w:val="default"/>
    <w:sig w:usb0="80000287" w:usb1="2ACF3C50" w:usb2="00000016" w:usb3="00000000" w:csb0="0004001F" w:csb1="00000000"/>
    <w:embedRegular r:id="rId9" w:fontKey="{5E2460C9-1081-428D-8F70-CCE0719C77B6}"/>
  </w:font>
  <w:font w:name="方正大标宋简体">
    <w:altName w:val="宋体"/>
    <w:panose1 w:val="00000000000000000000"/>
    <w:charset w:val="86"/>
    <w:family w:val="auto"/>
    <w:pitch w:val="default"/>
    <w:sig w:usb0="00000000" w:usb1="00000000" w:usb2="00000010" w:usb3="00000000" w:csb0="00040000" w:csb1="00000000"/>
    <w:embedRegular r:id="rId10" w:fontKey="{ED1BF79E-07C0-4472-BA75-F31EF20AA2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Cs w:val="2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3505"/>
        <w:tab w:val="clear" w:pos="4153"/>
        <w:tab w:val="clear" w:pos="8306"/>
      </w:tabs>
      <w:jc w:val="both"/>
      <w:rPr>
        <w:rFonts w:eastAsia="方正大标宋简体"/>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OTY2OWY3M2Q2NmEzMDU5NjVmZDE1YmFiZjc2OGYifQ=="/>
  </w:docVars>
  <w:rsids>
    <w:rsidRoot w:val="00F77825"/>
    <w:rsid w:val="00014507"/>
    <w:rsid w:val="00030E99"/>
    <w:rsid w:val="000474B0"/>
    <w:rsid w:val="000578E3"/>
    <w:rsid w:val="000631E7"/>
    <w:rsid w:val="00070B57"/>
    <w:rsid w:val="00070BF6"/>
    <w:rsid w:val="00102206"/>
    <w:rsid w:val="00102849"/>
    <w:rsid w:val="00102C58"/>
    <w:rsid w:val="0010701D"/>
    <w:rsid w:val="001330D3"/>
    <w:rsid w:val="00134B05"/>
    <w:rsid w:val="001441F1"/>
    <w:rsid w:val="00167C51"/>
    <w:rsid w:val="001823AE"/>
    <w:rsid w:val="00185FE2"/>
    <w:rsid w:val="00193957"/>
    <w:rsid w:val="00197318"/>
    <w:rsid w:val="001B19B0"/>
    <w:rsid w:val="001B644F"/>
    <w:rsid w:val="001E2CE9"/>
    <w:rsid w:val="001E73AA"/>
    <w:rsid w:val="001F325E"/>
    <w:rsid w:val="00214B27"/>
    <w:rsid w:val="00220219"/>
    <w:rsid w:val="00226942"/>
    <w:rsid w:val="0022701E"/>
    <w:rsid w:val="00250B91"/>
    <w:rsid w:val="00262069"/>
    <w:rsid w:val="00272CFB"/>
    <w:rsid w:val="00292077"/>
    <w:rsid w:val="002A6770"/>
    <w:rsid w:val="002B6CD5"/>
    <w:rsid w:val="002C71D1"/>
    <w:rsid w:val="002D3BC0"/>
    <w:rsid w:val="002E00AB"/>
    <w:rsid w:val="002E09FA"/>
    <w:rsid w:val="002F49AF"/>
    <w:rsid w:val="002F6154"/>
    <w:rsid w:val="00320BA7"/>
    <w:rsid w:val="00330A92"/>
    <w:rsid w:val="0033307D"/>
    <w:rsid w:val="003527CD"/>
    <w:rsid w:val="003740CC"/>
    <w:rsid w:val="003B117B"/>
    <w:rsid w:val="003D5747"/>
    <w:rsid w:val="003D7CC5"/>
    <w:rsid w:val="003E16C0"/>
    <w:rsid w:val="003F5DDC"/>
    <w:rsid w:val="00414B24"/>
    <w:rsid w:val="004167E6"/>
    <w:rsid w:val="00435E28"/>
    <w:rsid w:val="004550A6"/>
    <w:rsid w:val="00456319"/>
    <w:rsid w:val="0045782C"/>
    <w:rsid w:val="004619B2"/>
    <w:rsid w:val="0047191A"/>
    <w:rsid w:val="0049337A"/>
    <w:rsid w:val="0049712E"/>
    <w:rsid w:val="004B77A4"/>
    <w:rsid w:val="004C783D"/>
    <w:rsid w:val="004E041D"/>
    <w:rsid w:val="00502946"/>
    <w:rsid w:val="005077FF"/>
    <w:rsid w:val="00507BCE"/>
    <w:rsid w:val="005343A0"/>
    <w:rsid w:val="00537247"/>
    <w:rsid w:val="00544927"/>
    <w:rsid w:val="00573DD7"/>
    <w:rsid w:val="005863F1"/>
    <w:rsid w:val="005A2472"/>
    <w:rsid w:val="005B2DFF"/>
    <w:rsid w:val="005C65FD"/>
    <w:rsid w:val="005D0EEA"/>
    <w:rsid w:val="005D6618"/>
    <w:rsid w:val="005F017F"/>
    <w:rsid w:val="00611841"/>
    <w:rsid w:val="00640F93"/>
    <w:rsid w:val="006441BC"/>
    <w:rsid w:val="006473E8"/>
    <w:rsid w:val="00653C05"/>
    <w:rsid w:val="00655464"/>
    <w:rsid w:val="00667D46"/>
    <w:rsid w:val="006901E8"/>
    <w:rsid w:val="006A473D"/>
    <w:rsid w:val="006D7EA8"/>
    <w:rsid w:val="006E5DD9"/>
    <w:rsid w:val="00707736"/>
    <w:rsid w:val="0073599B"/>
    <w:rsid w:val="00753B2E"/>
    <w:rsid w:val="00757956"/>
    <w:rsid w:val="007720B8"/>
    <w:rsid w:val="00791D34"/>
    <w:rsid w:val="00793AFE"/>
    <w:rsid w:val="007E43A7"/>
    <w:rsid w:val="008236F4"/>
    <w:rsid w:val="00834FBE"/>
    <w:rsid w:val="008364F9"/>
    <w:rsid w:val="00852C6B"/>
    <w:rsid w:val="0087359B"/>
    <w:rsid w:val="00873864"/>
    <w:rsid w:val="00895409"/>
    <w:rsid w:val="008B1D72"/>
    <w:rsid w:val="008C0EFF"/>
    <w:rsid w:val="008C3B5F"/>
    <w:rsid w:val="008C6C20"/>
    <w:rsid w:val="008D77B2"/>
    <w:rsid w:val="008E1127"/>
    <w:rsid w:val="008E7023"/>
    <w:rsid w:val="008F6D77"/>
    <w:rsid w:val="0090511E"/>
    <w:rsid w:val="00921B7E"/>
    <w:rsid w:val="009237C0"/>
    <w:rsid w:val="00935474"/>
    <w:rsid w:val="00951840"/>
    <w:rsid w:val="00956D8E"/>
    <w:rsid w:val="00971843"/>
    <w:rsid w:val="00982B4E"/>
    <w:rsid w:val="009941AA"/>
    <w:rsid w:val="009A56C0"/>
    <w:rsid w:val="009B6EE3"/>
    <w:rsid w:val="009D7ADE"/>
    <w:rsid w:val="009E7EB9"/>
    <w:rsid w:val="00A04730"/>
    <w:rsid w:val="00A055C4"/>
    <w:rsid w:val="00A1626C"/>
    <w:rsid w:val="00A25747"/>
    <w:rsid w:val="00A37AEE"/>
    <w:rsid w:val="00A57412"/>
    <w:rsid w:val="00A95095"/>
    <w:rsid w:val="00AC346C"/>
    <w:rsid w:val="00AD19E1"/>
    <w:rsid w:val="00AD64A8"/>
    <w:rsid w:val="00AE6BE3"/>
    <w:rsid w:val="00B14304"/>
    <w:rsid w:val="00B43CE0"/>
    <w:rsid w:val="00B82339"/>
    <w:rsid w:val="00BC366B"/>
    <w:rsid w:val="00BD4FC9"/>
    <w:rsid w:val="00BE7B22"/>
    <w:rsid w:val="00BF607A"/>
    <w:rsid w:val="00C06D9B"/>
    <w:rsid w:val="00C0711C"/>
    <w:rsid w:val="00C36D97"/>
    <w:rsid w:val="00C646BF"/>
    <w:rsid w:val="00C82C7C"/>
    <w:rsid w:val="00C94F39"/>
    <w:rsid w:val="00CA37BF"/>
    <w:rsid w:val="00CF26E5"/>
    <w:rsid w:val="00CF2853"/>
    <w:rsid w:val="00D03E2D"/>
    <w:rsid w:val="00D25102"/>
    <w:rsid w:val="00D27993"/>
    <w:rsid w:val="00D34B3F"/>
    <w:rsid w:val="00D35772"/>
    <w:rsid w:val="00D40977"/>
    <w:rsid w:val="00D40D7C"/>
    <w:rsid w:val="00D55AB4"/>
    <w:rsid w:val="00D55FB8"/>
    <w:rsid w:val="00D61C32"/>
    <w:rsid w:val="00DA5A1A"/>
    <w:rsid w:val="00DC20AB"/>
    <w:rsid w:val="00DC4107"/>
    <w:rsid w:val="00DD38EA"/>
    <w:rsid w:val="00DD5EF5"/>
    <w:rsid w:val="00DF21A6"/>
    <w:rsid w:val="00E0790F"/>
    <w:rsid w:val="00E950FF"/>
    <w:rsid w:val="00EA0C9D"/>
    <w:rsid w:val="00EA69B4"/>
    <w:rsid w:val="00EB41A5"/>
    <w:rsid w:val="00EB72A7"/>
    <w:rsid w:val="00ED286B"/>
    <w:rsid w:val="00EF1739"/>
    <w:rsid w:val="00F03B10"/>
    <w:rsid w:val="00F07829"/>
    <w:rsid w:val="00F323D1"/>
    <w:rsid w:val="00F55814"/>
    <w:rsid w:val="00F570AB"/>
    <w:rsid w:val="00F77825"/>
    <w:rsid w:val="00F87966"/>
    <w:rsid w:val="00FC7A92"/>
    <w:rsid w:val="00FD6BBB"/>
    <w:rsid w:val="00FF26CC"/>
    <w:rsid w:val="02E3752F"/>
    <w:rsid w:val="032A1207"/>
    <w:rsid w:val="056E4B17"/>
    <w:rsid w:val="06833D53"/>
    <w:rsid w:val="07157BFA"/>
    <w:rsid w:val="07AA0EFE"/>
    <w:rsid w:val="088F4710"/>
    <w:rsid w:val="09271C52"/>
    <w:rsid w:val="0B435FF2"/>
    <w:rsid w:val="0B4C698B"/>
    <w:rsid w:val="0B6E3B68"/>
    <w:rsid w:val="0B8C426E"/>
    <w:rsid w:val="0C05627A"/>
    <w:rsid w:val="0E0D4BE4"/>
    <w:rsid w:val="0EE91E83"/>
    <w:rsid w:val="0F43480F"/>
    <w:rsid w:val="0F5B5353"/>
    <w:rsid w:val="0FD64FF3"/>
    <w:rsid w:val="10916ABF"/>
    <w:rsid w:val="10E91009"/>
    <w:rsid w:val="115B409D"/>
    <w:rsid w:val="115C59CB"/>
    <w:rsid w:val="12F86E2B"/>
    <w:rsid w:val="144A7D32"/>
    <w:rsid w:val="14541847"/>
    <w:rsid w:val="14CA19C3"/>
    <w:rsid w:val="15C2342E"/>
    <w:rsid w:val="15EF223D"/>
    <w:rsid w:val="15F50B1D"/>
    <w:rsid w:val="16B04804"/>
    <w:rsid w:val="16C84A74"/>
    <w:rsid w:val="17C4789D"/>
    <w:rsid w:val="18A070CA"/>
    <w:rsid w:val="19F90E24"/>
    <w:rsid w:val="1B305720"/>
    <w:rsid w:val="1C393D1E"/>
    <w:rsid w:val="1E056576"/>
    <w:rsid w:val="1F1C1100"/>
    <w:rsid w:val="20355F3F"/>
    <w:rsid w:val="216B500D"/>
    <w:rsid w:val="225D0766"/>
    <w:rsid w:val="22DA6745"/>
    <w:rsid w:val="232538D7"/>
    <w:rsid w:val="233139A1"/>
    <w:rsid w:val="234A0CE0"/>
    <w:rsid w:val="23FA0464"/>
    <w:rsid w:val="250C6474"/>
    <w:rsid w:val="256A4F48"/>
    <w:rsid w:val="25737224"/>
    <w:rsid w:val="26D905D7"/>
    <w:rsid w:val="27383323"/>
    <w:rsid w:val="28430B2E"/>
    <w:rsid w:val="28BC5ABB"/>
    <w:rsid w:val="28BE6196"/>
    <w:rsid w:val="299407E6"/>
    <w:rsid w:val="29A31037"/>
    <w:rsid w:val="2AB0164F"/>
    <w:rsid w:val="2AB95D3F"/>
    <w:rsid w:val="2B45623B"/>
    <w:rsid w:val="2B563FA5"/>
    <w:rsid w:val="2BC745AB"/>
    <w:rsid w:val="2C4C079F"/>
    <w:rsid w:val="2C8E259E"/>
    <w:rsid w:val="2D377E06"/>
    <w:rsid w:val="2DC55537"/>
    <w:rsid w:val="2F3D2675"/>
    <w:rsid w:val="30D2475E"/>
    <w:rsid w:val="31215055"/>
    <w:rsid w:val="31ED59CC"/>
    <w:rsid w:val="33304530"/>
    <w:rsid w:val="33900589"/>
    <w:rsid w:val="339331CB"/>
    <w:rsid w:val="34035BEE"/>
    <w:rsid w:val="34443644"/>
    <w:rsid w:val="34CE2DFE"/>
    <w:rsid w:val="34D67F04"/>
    <w:rsid w:val="35BE23CF"/>
    <w:rsid w:val="36290D28"/>
    <w:rsid w:val="36AC46B5"/>
    <w:rsid w:val="37217B5C"/>
    <w:rsid w:val="38353194"/>
    <w:rsid w:val="38367638"/>
    <w:rsid w:val="388A1731"/>
    <w:rsid w:val="3954623F"/>
    <w:rsid w:val="39BB0F96"/>
    <w:rsid w:val="3A0B68A2"/>
    <w:rsid w:val="3A5366D2"/>
    <w:rsid w:val="3ADB091E"/>
    <w:rsid w:val="3B260034"/>
    <w:rsid w:val="3C0A4150"/>
    <w:rsid w:val="3C29332E"/>
    <w:rsid w:val="3D7D2735"/>
    <w:rsid w:val="3EF80673"/>
    <w:rsid w:val="3F310B59"/>
    <w:rsid w:val="3FA57E56"/>
    <w:rsid w:val="410B22C4"/>
    <w:rsid w:val="414D6FA3"/>
    <w:rsid w:val="41A27AEC"/>
    <w:rsid w:val="41A34CF2"/>
    <w:rsid w:val="421A2DD0"/>
    <w:rsid w:val="43255089"/>
    <w:rsid w:val="432F6980"/>
    <w:rsid w:val="438020AF"/>
    <w:rsid w:val="441340C7"/>
    <w:rsid w:val="45420DEC"/>
    <w:rsid w:val="45596713"/>
    <w:rsid w:val="4683717D"/>
    <w:rsid w:val="47EF7816"/>
    <w:rsid w:val="481F6B0D"/>
    <w:rsid w:val="48996446"/>
    <w:rsid w:val="499441BE"/>
    <w:rsid w:val="4A0155CC"/>
    <w:rsid w:val="4B694816"/>
    <w:rsid w:val="4BE942C4"/>
    <w:rsid w:val="4C0875E3"/>
    <w:rsid w:val="4C17640D"/>
    <w:rsid w:val="4C55112A"/>
    <w:rsid w:val="4CCF014C"/>
    <w:rsid w:val="4CE511D4"/>
    <w:rsid w:val="4D227D33"/>
    <w:rsid w:val="4DC46900"/>
    <w:rsid w:val="4FC7696F"/>
    <w:rsid w:val="50A01B5D"/>
    <w:rsid w:val="50EC72FE"/>
    <w:rsid w:val="52983AD0"/>
    <w:rsid w:val="52A94183"/>
    <w:rsid w:val="53C1183E"/>
    <w:rsid w:val="54482775"/>
    <w:rsid w:val="544B7B6F"/>
    <w:rsid w:val="56226FF5"/>
    <w:rsid w:val="5695392C"/>
    <w:rsid w:val="56C04D85"/>
    <w:rsid w:val="56E93AE0"/>
    <w:rsid w:val="56EF29AC"/>
    <w:rsid w:val="57182A40"/>
    <w:rsid w:val="575C4A0F"/>
    <w:rsid w:val="57CD6706"/>
    <w:rsid w:val="587F62CB"/>
    <w:rsid w:val="589907D2"/>
    <w:rsid w:val="58DF2F7C"/>
    <w:rsid w:val="59623355"/>
    <w:rsid w:val="5976568E"/>
    <w:rsid w:val="59D2663D"/>
    <w:rsid w:val="5A1924BD"/>
    <w:rsid w:val="5A290952"/>
    <w:rsid w:val="5B3C70FF"/>
    <w:rsid w:val="5DCA52AB"/>
    <w:rsid w:val="5E015742"/>
    <w:rsid w:val="5E4B7DC9"/>
    <w:rsid w:val="5EFD3EE2"/>
    <w:rsid w:val="5F9E064F"/>
    <w:rsid w:val="5FA148BD"/>
    <w:rsid w:val="5FE532A2"/>
    <w:rsid w:val="60986EC1"/>
    <w:rsid w:val="642C28A1"/>
    <w:rsid w:val="64F46A76"/>
    <w:rsid w:val="662D067A"/>
    <w:rsid w:val="66576847"/>
    <w:rsid w:val="66911096"/>
    <w:rsid w:val="67010561"/>
    <w:rsid w:val="67874F0A"/>
    <w:rsid w:val="690A0333"/>
    <w:rsid w:val="697274F4"/>
    <w:rsid w:val="69F767C2"/>
    <w:rsid w:val="6A650E35"/>
    <w:rsid w:val="6AD72ADE"/>
    <w:rsid w:val="6B0065B2"/>
    <w:rsid w:val="6BA0262E"/>
    <w:rsid w:val="6BD3071E"/>
    <w:rsid w:val="6E0C4CB0"/>
    <w:rsid w:val="6E880B75"/>
    <w:rsid w:val="70757FF6"/>
    <w:rsid w:val="711A59B6"/>
    <w:rsid w:val="719A7C6D"/>
    <w:rsid w:val="72351FCB"/>
    <w:rsid w:val="736D1458"/>
    <w:rsid w:val="737F1777"/>
    <w:rsid w:val="73E13BF4"/>
    <w:rsid w:val="74AD10DB"/>
    <w:rsid w:val="74C17EA3"/>
    <w:rsid w:val="75C87663"/>
    <w:rsid w:val="75E875B4"/>
    <w:rsid w:val="761945BC"/>
    <w:rsid w:val="766F0171"/>
    <w:rsid w:val="76BD42AC"/>
    <w:rsid w:val="76F2233B"/>
    <w:rsid w:val="77E67A2B"/>
    <w:rsid w:val="7825254D"/>
    <w:rsid w:val="78790426"/>
    <w:rsid w:val="7B5B3973"/>
    <w:rsid w:val="7BAB4337"/>
    <w:rsid w:val="7BBE7F6F"/>
    <w:rsid w:val="7C92193E"/>
    <w:rsid w:val="7CA67C6C"/>
    <w:rsid w:val="7CC76ABC"/>
    <w:rsid w:val="7CCD4946"/>
    <w:rsid w:val="7E192777"/>
    <w:rsid w:val="7E6416AA"/>
    <w:rsid w:val="7EA97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unhideWhenUsed/>
    <w:qFormat/>
    <w:uiPriority w:val="99"/>
    <w:pPr>
      <w:ind w:firstLine="420" w:firstLineChars="200"/>
    </w:pPr>
  </w:style>
  <w:style w:type="paragraph" w:styleId="4">
    <w:name w:val="annotation text"/>
    <w:basedOn w:val="1"/>
    <w:link w:val="16"/>
    <w:unhideWhenUsed/>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0"/>
    <w:pPr>
      <w:spacing w:after="120" w:line="480" w:lineRule="auto"/>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17"/>
    <w:semiHidden/>
    <w:unhideWhenUsed/>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0"/>
    <w:rPr>
      <w:sz w:val="21"/>
      <w:szCs w:val="21"/>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Char"/>
    <w:basedOn w:val="13"/>
    <w:link w:val="4"/>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10"/>
    <w:semiHidden/>
    <w:qFormat/>
    <w:uiPriority w:val="0"/>
    <w:rPr>
      <w:rFonts w:asciiTheme="minorHAnsi" w:hAnsiTheme="minorHAnsi" w:eastAsiaTheme="minorEastAsia" w:cstheme="minorBidi"/>
      <w:b/>
      <w:bCs/>
      <w:kern w:val="2"/>
      <w:sz w:val="21"/>
      <w:szCs w:val="24"/>
    </w:rPr>
  </w:style>
  <w:style w:type="character" w:customStyle="1" w:styleId="18">
    <w:name w:val="批注框文本 Char"/>
    <w:basedOn w:val="13"/>
    <w:link w:val="5"/>
    <w:qFormat/>
    <w:uiPriority w:val="0"/>
    <w:rPr>
      <w:rFonts w:asciiTheme="minorHAnsi" w:hAnsiTheme="minorHAnsi" w:eastAsiaTheme="minorEastAsia" w:cstheme="minorBidi"/>
      <w:kern w:val="2"/>
      <w:sz w:val="18"/>
      <w:szCs w:val="18"/>
    </w:rPr>
  </w:style>
  <w:style w:type="character" w:customStyle="1" w:styleId="19">
    <w:name w:val="NormalCharacter"/>
    <w:qFormat/>
    <w:uiPriority w:val="0"/>
  </w:style>
  <w:style w:type="paragraph" w:customStyle="1" w:styleId="20">
    <w:name w:val="Char1 Char Char Char Char Char Char Char Char Char"/>
    <w:basedOn w:val="1"/>
    <w:qFormat/>
    <w:uiPriority w:val="0"/>
    <w:pPr>
      <w:spacing w:before="240" w:after="120" w:line="288" w:lineRule="auto"/>
      <w:ind w:firstLine="200" w:firstLineChars="200"/>
      <w:jc w:val="left"/>
    </w:pPr>
    <w:rPr>
      <w:rFonts w:ascii="Times New Roman" w:hAnsi="Times New Roman" w:eastAsia="宋体" w:cs="Times New Roman"/>
      <w:szCs w:val="20"/>
    </w:rPr>
  </w:style>
  <w:style w:type="character" w:customStyle="1" w:styleId="21">
    <w:name w:val="font11"/>
    <w:qFormat/>
    <w:uiPriority w:val="0"/>
    <w:rPr>
      <w:rFonts w:hint="eastAsia" w:ascii="宋体" w:hAnsi="宋体" w:eastAsia="宋体" w:cs="宋体"/>
      <w:color w:val="000000"/>
      <w:sz w:val="36"/>
      <w:szCs w:val="36"/>
      <w:u w:val="none"/>
    </w:rPr>
  </w:style>
  <w:style w:type="character" w:customStyle="1" w:styleId="22">
    <w:name w:val="font21"/>
    <w:qFormat/>
    <w:uiPriority w:val="0"/>
    <w:rPr>
      <w:rFonts w:hint="eastAsia" w:ascii="宋体" w:hAnsi="宋体" w:eastAsia="宋体" w:cs="宋体"/>
      <w:color w:val="000000"/>
      <w:sz w:val="24"/>
      <w:szCs w:val="24"/>
      <w:u w:val="none"/>
    </w:rPr>
  </w:style>
  <w:style w:type="paragraph" w:customStyle="1" w:styleId="23">
    <w:name w:val="样式 宋体 四号 居中 行距: 1.5 倍行距"/>
    <w:basedOn w:val="1"/>
    <w:qFormat/>
    <w:uiPriority w:val="0"/>
    <w:pPr>
      <w:spacing w:line="360" w:lineRule="auto"/>
      <w:jc w:val="center"/>
    </w:pPr>
    <w:rPr>
      <w:rFonts w:ascii="宋体" w:hAnsi="Cambria" w:cs="宋体"/>
      <w:sz w:val="28"/>
      <w:szCs w:val="20"/>
    </w:rPr>
  </w:style>
  <w:style w:type="table" w:customStyle="1" w:styleId="24">
    <w:name w:val="网格型1"/>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1275</Words>
  <Characters>7270</Characters>
  <Lines>60</Lines>
  <Paragraphs>17</Paragraphs>
  <TotalTime>96</TotalTime>
  <ScaleCrop>false</ScaleCrop>
  <LinksUpToDate>false</LinksUpToDate>
  <CharactersWithSpaces>8528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2023-05-26T13:08:00Z</dcterms:created>
  <dc:creator>Administrator</dc:creator>
  <cp:lastModifiedBy>龙飞</cp:lastModifiedBy>
  <cp:lastPrinted>2024-02-09T07:21:00Z</cp:lastPrinted>
  <dcterms:modified xsi:type="dcterms:W3CDTF">2024-02-09T09:02:22Z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8C1A067D128B432CA34EB402D1821232_13</vt:lpwstr>
  </property>
</Properties>
</file>