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青钢片区九年制学校及幼儿园建设工程土壤</w:t>
      </w:r>
    </w:p>
    <w:p>
      <w:pPr>
        <w:adjustRightInd w:val="0"/>
        <w:snapToGrid w:val="0"/>
        <w:spacing w:line="560" w:lineRule="exact"/>
        <w:jc w:val="center"/>
        <w:rPr>
          <w:rFonts w:ascii="方正小标宋_GBK" w:eastAsia="方正小标宋_GBK"/>
          <w:sz w:val="44"/>
          <w:szCs w:val="44"/>
        </w:rPr>
      </w:pPr>
      <w:r>
        <w:rPr>
          <w:rFonts w:hint="eastAsia" w:ascii="方正小标宋_GBK" w:eastAsia="方正小标宋_GBK"/>
          <w:sz w:val="44"/>
          <w:szCs w:val="44"/>
        </w:rPr>
        <w:t>氡浓度检测询价采购公告</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1.采购单位：青岛城投新城开发建设有限公司</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2.服务名称：青钢片区九年制学校及幼儿园建设工程土壤氡浓度检测</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3.工程概况：</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3.1青钢片区九年制学校建设工程</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项目占地面积72.6亩，总建筑面积约4.44万平米，其中地上建筑面积约3.54万平方米，地下建筑面积约0.9万平方米。建设内容包括：教学楼、风雨操场，学生教师餐厅、报告厅、400 米跑道、篮球场、排球场、游戏场地等。</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3.2青钢片区幼儿园建设工程</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项目占地面积16.3亩，总建筑面积0.74万平方米，其中地上建筑面积约0.66万平方米，地下建筑面积约0.08万平方米，建设内容包括：幼儿园综合体、多功能活动室、幼儿教师餐厅、跑道、活动场地等。</w:t>
      </w:r>
    </w:p>
    <w:p>
      <w:pPr>
        <w:spacing w:line="56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内容：对青钢片区九年制学校及幼儿园建设工程土壤氡浓度进行检测，根据国家标准及设计文件编制检测方案，进行土壤氡浓度检测，根据检测情况及时提交检测数据，对异常情况及时汇报，检测完成后提交检测报告。</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土壤氡浓度检测数量：学校检测不少于484个点，幼儿园检测不少于109个点。</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5.服务地点：李沧区楼山二支路以西、创业路以北。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6.采购预算：11.86万元，其中青钢片区九年制学校建设工程土壤氡浓度检测费用为9.68万元，青钢片区幼儿园建设工程土壤氡浓度检测费用为2.18万元。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eastAsia="仿宋_GB2312"/>
          <w:sz w:val="32"/>
          <w:szCs w:val="32"/>
        </w:rPr>
        <w:t>在中华人民共和国境内注册，具有独立法人资格；</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.须具有建设主管部门颁发的有效期内的《建设工程质量检测机构资质证书》；</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3.近三年（2021年1月1日至今）承接过土壤氡元素检测相关同类业绩。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1.检测项目：土壤氡浓度</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2.技术</w:t>
      </w:r>
      <w:r>
        <w:rPr>
          <w:rFonts w:hint="eastAsia" w:ascii="仿宋_GB2312" w:hAnsi="仿宋_GB2312" w:eastAsia="仿宋_GB2312" w:cs="仿宋_GB2312"/>
          <w:kern w:val="0"/>
          <w:sz w:val="32"/>
          <w:szCs w:val="32"/>
          <w:lang w:val="zh-CN"/>
        </w:rPr>
        <w:t>要求：</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 xml:space="preserve">《民用建筑工程室内环境污染控制标准》（GB 50325-2020） </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zh-CN"/>
        </w:rPr>
        <w:t>现行的国家及省市相关法律法规和标准规范，若有最新版本的规范和标准，则以最新的规范和标准为准。</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3.人员要求：检测</w:t>
      </w:r>
      <w:r>
        <w:rPr>
          <w:rFonts w:hint="eastAsia" w:ascii="仿宋_GB2312" w:hAnsi="仿宋_GB2312" w:eastAsia="仿宋_GB2312" w:cs="仿宋_GB2312"/>
          <w:kern w:val="0"/>
          <w:sz w:val="32"/>
          <w:szCs w:val="32"/>
          <w:lang w:val="zh-CN"/>
        </w:rPr>
        <w:t>项目负责人</w:t>
      </w:r>
      <w:r>
        <w:rPr>
          <w:rFonts w:hint="eastAsia" w:ascii="仿宋_GB2312" w:hAnsi="仿宋_GB2312" w:eastAsia="仿宋_GB2312" w:cs="仿宋_GB2312"/>
          <w:kern w:val="0"/>
          <w:sz w:val="32"/>
          <w:szCs w:val="32"/>
        </w:rPr>
        <w:t>1名</w:t>
      </w:r>
      <w:r>
        <w:rPr>
          <w:rFonts w:hint="eastAsia" w:ascii="仿宋_GB2312" w:hAnsi="仿宋_GB2312" w:eastAsia="仿宋_GB2312" w:cs="仿宋_GB2312"/>
          <w:kern w:val="0"/>
          <w:sz w:val="32"/>
          <w:szCs w:val="32"/>
          <w:lang w:val="zh-CN"/>
        </w:rPr>
        <w:t>，应具有工程类高级及以上职称；检测人员</w:t>
      </w: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val="zh-CN"/>
        </w:rPr>
        <w:t>名，应具有工程类中级及以上职称。</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4.服务期限：</w:t>
      </w:r>
      <w:r>
        <w:rPr>
          <w:rFonts w:hint="eastAsia" w:ascii="仿宋_GB2312" w:hAnsi="仿宋_GB2312" w:eastAsia="仿宋_GB2312" w:cs="仿宋_GB2312"/>
          <w:kern w:val="0"/>
          <w:sz w:val="32"/>
          <w:szCs w:val="32"/>
          <w:lang w:val="zh-CN"/>
        </w:rPr>
        <w:t>从合同签订之日起</w:t>
      </w:r>
      <w:r>
        <w:rPr>
          <w:rFonts w:hint="eastAsia" w:ascii="仿宋_GB2312" w:hAnsi="仿宋_GB2312" w:eastAsia="仿宋_GB2312" w:cs="仿宋_GB2312"/>
          <w:kern w:val="0"/>
          <w:sz w:val="32"/>
          <w:szCs w:val="32"/>
        </w:rPr>
        <w:t>30日内完成全部</w:t>
      </w:r>
      <w:r>
        <w:rPr>
          <w:rFonts w:hint="eastAsia" w:ascii="仿宋_GB2312" w:hAnsi="仿宋_GB2312" w:eastAsia="仿宋_GB2312" w:cs="仿宋_GB2312"/>
          <w:kern w:val="0"/>
          <w:sz w:val="32"/>
          <w:szCs w:val="32"/>
          <w:lang w:val="zh-CN"/>
        </w:rPr>
        <w:t>检测任务。</w:t>
      </w:r>
    </w:p>
    <w:p>
      <w:pPr>
        <w:adjustRightInd w:val="0"/>
        <w:snapToGrid w:val="0"/>
        <w:spacing w:line="560" w:lineRule="exact"/>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5.服务成果验收：检测过程中，中标单位需根据检测情况及时进行数据提交，对异常情况及时汇报，</w:t>
      </w:r>
      <w:r>
        <w:rPr>
          <w:rFonts w:hint="eastAsia" w:ascii="仿宋_GB2312" w:hAnsi="仿宋_GB2312" w:eastAsia="仿宋_GB2312" w:cs="仿宋_GB2312"/>
          <w:kern w:val="0"/>
          <w:sz w:val="32"/>
          <w:szCs w:val="32"/>
          <w:lang w:val="zh-CN"/>
        </w:rPr>
        <w:t>完成</w:t>
      </w:r>
      <w:r>
        <w:rPr>
          <w:rFonts w:hint="eastAsia" w:ascii="仿宋_GB2312" w:hAnsi="仿宋_GB2312" w:eastAsia="仿宋_GB2312" w:cs="仿宋_GB2312"/>
          <w:kern w:val="0"/>
          <w:sz w:val="32"/>
          <w:szCs w:val="32"/>
        </w:rPr>
        <w:t>检测任务</w:t>
      </w:r>
      <w:r>
        <w:rPr>
          <w:rFonts w:hint="eastAsia" w:ascii="仿宋_GB2312" w:hAnsi="仿宋_GB2312" w:eastAsia="仿宋_GB2312" w:cs="仿宋_GB2312"/>
          <w:kern w:val="0"/>
          <w:sz w:val="32"/>
          <w:szCs w:val="32"/>
          <w:lang w:val="zh-CN"/>
        </w:rPr>
        <w:t>后，</w:t>
      </w:r>
      <w:r>
        <w:rPr>
          <w:rFonts w:hint="eastAsia" w:ascii="仿宋_GB2312" w:hAnsi="仿宋_GB2312" w:eastAsia="仿宋_GB2312" w:cs="仿宋_GB2312"/>
          <w:kern w:val="0"/>
          <w:sz w:val="32"/>
          <w:szCs w:val="32"/>
        </w:rPr>
        <w:t>中标单位</w:t>
      </w:r>
      <w:r>
        <w:rPr>
          <w:rFonts w:hint="eastAsia" w:ascii="仿宋_GB2312" w:hAnsi="仿宋_GB2312" w:eastAsia="仿宋_GB2312" w:cs="仿宋_GB2312"/>
          <w:kern w:val="0"/>
          <w:sz w:val="32"/>
          <w:szCs w:val="32"/>
          <w:lang w:val="zh-CN"/>
        </w:rPr>
        <w:t>提供项目完成</w:t>
      </w:r>
      <w:r>
        <w:rPr>
          <w:rFonts w:hint="eastAsia" w:ascii="仿宋_GB2312" w:hAnsi="仿宋_GB2312" w:eastAsia="仿宋_GB2312" w:cs="仿宋_GB2312"/>
          <w:kern w:val="0"/>
          <w:sz w:val="32"/>
          <w:szCs w:val="32"/>
        </w:rPr>
        <w:t>检测</w:t>
      </w:r>
      <w:r>
        <w:rPr>
          <w:rFonts w:hint="eastAsia" w:ascii="仿宋_GB2312" w:hAnsi="仿宋_GB2312" w:eastAsia="仿宋_GB2312" w:cs="仿宋_GB2312"/>
          <w:kern w:val="0"/>
          <w:sz w:val="32"/>
          <w:szCs w:val="32"/>
          <w:lang w:val="zh-CN"/>
        </w:rPr>
        <w:t>报告，采购单位应对</w:t>
      </w:r>
      <w:r>
        <w:rPr>
          <w:rFonts w:hint="eastAsia" w:ascii="仿宋_GB2312" w:hAnsi="仿宋_GB2312" w:eastAsia="仿宋_GB2312" w:cs="仿宋_GB2312"/>
          <w:kern w:val="0"/>
          <w:sz w:val="32"/>
          <w:szCs w:val="32"/>
        </w:rPr>
        <w:t>检测</w:t>
      </w:r>
      <w:r>
        <w:rPr>
          <w:rFonts w:hint="eastAsia" w:ascii="仿宋_GB2312" w:hAnsi="仿宋_GB2312" w:eastAsia="仿宋_GB2312" w:cs="仿宋_GB2312"/>
          <w:kern w:val="0"/>
          <w:sz w:val="32"/>
          <w:szCs w:val="32"/>
          <w:lang w:val="zh-CN"/>
        </w:rPr>
        <w:t>的成果进行详细而全面的检验。采购单位有权限根据</w:t>
      </w:r>
      <w:r>
        <w:rPr>
          <w:rFonts w:hint="eastAsia" w:ascii="仿宋_GB2312" w:hAnsi="仿宋_GB2312" w:eastAsia="仿宋_GB2312" w:cs="仿宋_GB2312"/>
          <w:kern w:val="0"/>
          <w:sz w:val="32"/>
          <w:szCs w:val="32"/>
        </w:rPr>
        <w:t>检测</w:t>
      </w:r>
      <w:r>
        <w:rPr>
          <w:rFonts w:hint="eastAsia" w:ascii="仿宋_GB2312" w:hAnsi="仿宋_GB2312" w:eastAsia="仿宋_GB2312" w:cs="仿宋_GB2312"/>
          <w:kern w:val="0"/>
          <w:sz w:val="32"/>
          <w:szCs w:val="32"/>
          <w:lang w:val="zh-CN"/>
        </w:rPr>
        <w:t>结果要求</w:t>
      </w:r>
      <w:r>
        <w:rPr>
          <w:rFonts w:hint="eastAsia" w:ascii="仿宋_GB2312" w:hAnsi="仿宋_GB2312" w:eastAsia="仿宋_GB2312" w:cs="仿宋_GB2312"/>
          <w:kern w:val="0"/>
          <w:sz w:val="32"/>
          <w:szCs w:val="32"/>
        </w:rPr>
        <w:t>中标单位</w:t>
      </w:r>
      <w:r>
        <w:rPr>
          <w:rFonts w:hint="eastAsia" w:ascii="仿宋_GB2312" w:hAnsi="仿宋_GB2312" w:eastAsia="仿宋_GB2312" w:cs="仿宋_GB2312"/>
          <w:kern w:val="0"/>
          <w:sz w:val="32"/>
          <w:szCs w:val="32"/>
          <w:lang w:val="zh-CN"/>
        </w:rPr>
        <w:t>立即更换、完善、调整或者提出索赔要求，</w:t>
      </w:r>
      <w:r>
        <w:rPr>
          <w:rFonts w:hint="eastAsia" w:ascii="仿宋_GB2312" w:hAnsi="仿宋_GB2312" w:eastAsia="仿宋_GB2312" w:cs="仿宋_GB2312"/>
          <w:kern w:val="0"/>
          <w:sz w:val="32"/>
          <w:szCs w:val="32"/>
        </w:rPr>
        <w:t>且该检测报告须满足项目竣工绿色建筑核查及相关规范要求</w:t>
      </w:r>
      <w:r>
        <w:rPr>
          <w:rFonts w:hint="eastAsia" w:ascii="仿宋_GB2312" w:hAnsi="仿宋_GB2312" w:eastAsia="仿宋_GB2312" w:cs="仿宋_GB2312"/>
          <w:kern w:val="0"/>
          <w:sz w:val="32"/>
          <w:szCs w:val="32"/>
          <w:lang w:val="zh-CN"/>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6.结算方式：检测收费按固定单价方式计取，工程量按实结算，若最终工程量超过询价工程量，则按询价工程量结算。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2.投标最终报价不得高于采购预算，并且各项目的报价均不得高于其采购预算，否则投标报价无效。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资质证书（复印件）、法人身份证明或授权委托书（附件1）、同类合同业绩（复印件，若合同无法体现检测项目请自行提供其他证明材料）、报价承诺函（附件2）、报价单（附件3）、服务人员配备表（附件4）及人员身份证（复印件）、专业技术资格证书（复印件）、社保证明材料等。报价文件包括但不限于以上资料，报价文件一式三份需加盖公章并装订成册。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 2月23日15点整。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2.报价形式：报价文件采取现场递交的形式。</w:t>
      </w:r>
    </w:p>
    <w:p>
      <w:pPr>
        <w:widowControl/>
        <w:ind w:firstLine="64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w:t>
      </w:r>
      <w:bookmarkStart w:id="0" w:name="_GoBack"/>
      <w:bookmarkEnd w:id="0"/>
      <w:r>
        <w:rPr>
          <w:rFonts w:hint="eastAsia" w:ascii="仿宋_GB2312" w:eastAsia="仿宋_GB2312"/>
          <w:sz w:val="32"/>
          <w:szCs w:val="32"/>
        </w:rPr>
        <w:t>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联系人:王经理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1600" w:firstLineChars="5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2024年2月</w:t>
      </w:r>
      <w:r>
        <w:rPr>
          <w:rFonts w:hint="eastAsia" w:ascii="仿宋_GB2312" w:eastAsia="仿宋_GB2312"/>
          <w:sz w:val="32"/>
          <w:szCs w:val="32"/>
        </w:rPr>
        <w:t>19</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青钢片区九年制学校及幼儿园建设工程土壤氡浓度检测</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8"/>
        <w:tblpPr w:leftFromText="180" w:rightFromText="180" w:vertAnchor="text" w:horzAnchor="page" w:tblpX="1638" w:tblpY="391"/>
        <w:tblOverlap w:val="never"/>
        <w:tblW w:w="890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5"/>
        <w:gridCol w:w="2439"/>
        <w:gridCol w:w="930"/>
        <w:gridCol w:w="7"/>
        <w:gridCol w:w="1118"/>
        <w:gridCol w:w="1170"/>
        <w:gridCol w:w="1446"/>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6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序号</w:t>
            </w:r>
          </w:p>
        </w:tc>
        <w:tc>
          <w:tcPr>
            <w:tcW w:w="2439"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工作内容</w:t>
            </w:r>
          </w:p>
        </w:tc>
        <w:tc>
          <w:tcPr>
            <w:tcW w:w="93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lang w:val="zh-CN"/>
              </w:rPr>
              <w:t>单位</w:t>
            </w:r>
          </w:p>
        </w:tc>
        <w:tc>
          <w:tcPr>
            <w:tcW w:w="1125" w:type="dxa"/>
            <w:gridSpan w:val="2"/>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工程量</w:t>
            </w:r>
          </w:p>
        </w:tc>
        <w:tc>
          <w:tcPr>
            <w:tcW w:w="1170"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单价（元/点）</w:t>
            </w:r>
          </w:p>
        </w:tc>
        <w:tc>
          <w:tcPr>
            <w:tcW w:w="1446"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小计（元）</w:t>
            </w:r>
          </w:p>
        </w:tc>
        <w:tc>
          <w:tcPr>
            <w:tcW w:w="1125" w:type="dxa"/>
            <w:tcBorders>
              <w:bottom w:val="single" w:color="auto" w:sz="4" w:space="0"/>
            </w:tcBorders>
            <w:vAlign w:val="center"/>
          </w:tcPr>
          <w:p>
            <w:pPr>
              <w:spacing w:line="460" w:lineRule="exact"/>
              <w:jc w:val="center"/>
              <w:rPr>
                <w:rFonts w:cs="仿宋" w:asciiTheme="minorEastAsia" w:hAnsiTheme="minorEastAsia"/>
                <w:b/>
              </w:rPr>
            </w:pPr>
            <w:r>
              <w:rPr>
                <w:rFonts w:hint="eastAsia" w:cs="仿宋" w:asciiTheme="minorEastAsia" w:hAnsiTheme="minorEastAsia"/>
                <w:b/>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9"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1</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青钢片区九年制学校建设工程土壤氡浓度检测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484</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24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青钢片区幼儿园建设工程土壤氡浓度检测</w:t>
            </w:r>
          </w:p>
        </w:tc>
        <w:tc>
          <w:tcPr>
            <w:tcW w:w="93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cs="宋体" w:asciiTheme="minorEastAsia" w:hAnsiTheme="minorEastAsia"/>
                <w:kern w:val="0"/>
                <w:sz w:val="24"/>
                <w:szCs w:val="24"/>
                <w:lang w:val="zh-CN"/>
              </w:rPr>
            </w:pPr>
            <w:r>
              <w:rPr>
                <w:rFonts w:hint="eastAsia" w:cs="宋体" w:asciiTheme="minorEastAsia" w:hAnsiTheme="minorEastAsia"/>
                <w:kern w:val="0"/>
                <w:sz w:val="24"/>
                <w:szCs w:val="24"/>
                <w:lang w:val="zh-CN"/>
              </w:rPr>
              <w:t>点</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r>
              <w:rPr>
                <w:rFonts w:hint="eastAsia" w:cs="宋体" w:asciiTheme="minorEastAsia" w:hAnsiTheme="minorEastAsia"/>
                <w:kern w:val="0"/>
                <w:sz w:val="24"/>
                <w:szCs w:val="24"/>
              </w:rPr>
              <w:t>109</w:t>
            </w:r>
          </w:p>
        </w:tc>
        <w:tc>
          <w:tcPr>
            <w:tcW w:w="117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cs="宋体" w:asciiTheme="minorEastAsia" w:hAnsiTheme="minorEastAsia"/>
                <w:kern w:val="0"/>
                <w:sz w:val="24"/>
                <w:szCs w:val="24"/>
              </w:rPr>
            </w:pPr>
          </w:p>
        </w:tc>
        <w:tc>
          <w:tcPr>
            <w:tcW w:w="1446"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spacing w:line="12" w:lineRule="atLeast"/>
              <w:jc w:val="left"/>
              <w:rPr>
                <w:rFonts w:cs="仿宋" w:asciiTheme="minorEastAsia" w:hAnsi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19" w:hRule="atLeast"/>
        </w:trPr>
        <w:tc>
          <w:tcPr>
            <w:tcW w:w="4041" w:type="dxa"/>
            <w:gridSpan w:val="4"/>
            <w:tcBorders>
              <w:top w:val="single" w:color="auto" w:sz="4" w:space="0"/>
              <w:left w:val="single" w:color="auto" w:sz="4" w:space="0"/>
              <w:bottom w:val="single" w:color="auto" w:sz="4" w:space="0"/>
              <w:right w:val="single" w:color="auto" w:sz="4" w:space="0"/>
            </w:tcBorders>
            <w:vAlign w:val="center"/>
          </w:tcPr>
          <w:p>
            <w:pPr>
              <w:spacing w:line="12" w:lineRule="atLeast"/>
              <w:jc w:val="center"/>
              <w:rPr>
                <w:rFonts w:cs="仿宋" w:asciiTheme="minorEastAsia" w:hAnsiTheme="minorEastAsia"/>
                <w:szCs w:val="21"/>
              </w:rPr>
            </w:pPr>
            <w:r>
              <w:rPr>
                <w:rFonts w:hint="eastAsia" w:cs="宋体" w:asciiTheme="minorEastAsia" w:hAnsiTheme="minorEastAsia"/>
                <w:kern w:val="0"/>
                <w:sz w:val="24"/>
                <w:szCs w:val="24"/>
                <w:lang w:val="zh-CN"/>
              </w:rPr>
              <w:t>合</w:t>
            </w: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lang w:val="zh-CN"/>
              </w:rPr>
              <w:t>计</w:t>
            </w:r>
          </w:p>
        </w:tc>
        <w:tc>
          <w:tcPr>
            <w:tcW w:w="4859" w:type="dxa"/>
            <w:gridSpan w:val="4"/>
            <w:tcBorders>
              <w:top w:val="single" w:color="auto" w:sz="4" w:space="0"/>
              <w:left w:val="single" w:color="auto" w:sz="4" w:space="0"/>
              <w:bottom w:val="single" w:color="auto" w:sz="4" w:space="0"/>
              <w:right w:val="single" w:color="auto" w:sz="4" w:space="0"/>
            </w:tcBorders>
            <w:vAlign w:val="center"/>
          </w:tcPr>
          <w:p>
            <w:pPr>
              <w:spacing w:line="12" w:lineRule="atLeast"/>
              <w:rPr>
                <w:rFonts w:cs="仿宋" w:asciiTheme="minorEastAsia" w:hAnsiTheme="minorEastAsia"/>
                <w:szCs w:val="21"/>
              </w:rPr>
            </w:pPr>
            <w:r>
              <w:rPr>
                <w:rFonts w:hint="eastAsia" w:cs="仿宋" w:asciiTheme="minorEastAsia" w:hAnsiTheme="minorEastAsia"/>
                <w:szCs w:val="21"/>
              </w:rPr>
              <w:t>大写：</w:t>
            </w:r>
          </w:p>
          <w:p>
            <w:pPr>
              <w:spacing w:line="12" w:lineRule="atLeast"/>
              <w:rPr>
                <w:rFonts w:cs="仿宋" w:asciiTheme="minorEastAsia" w:hAnsiTheme="minorEastAsia"/>
                <w:szCs w:val="21"/>
              </w:rPr>
            </w:pPr>
            <w:r>
              <w:rPr>
                <w:rFonts w:hint="eastAsia" w:cs="仿宋" w:asciiTheme="minorEastAsia" w:hAnsiTheme="minorEastAsia"/>
                <w:szCs w:val="21"/>
              </w:rPr>
              <w:t>小写：</w:t>
            </w:r>
          </w:p>
        </w:tc>
      </w:tr>
    </w:tbl>
    <w:p>
      <w:pPr>
        <w:spacing w:line="400" w:lineRule="exact"/>
        <w:rPr>
          <w:rFonts w:ascii="仿宋" w:hAnsi="仿宋" w:eastAsia="仿宋" w:cs="宋体"/>
          <w:color w:val="FF0000"/>
          <w:sz w:val="22"/>
          <w:szCs w:val="21"/>
          <w:lang w:val="zh-CN"/>
        </w:rPr>
      </w:pPr>
    </w:p>
    <w:p>
      <w:pPr>
        <w:widowControl/>
        <w:jc w:val="left"/>
        <w:rPr>
          <w:rFonts w:ascii="仿宋" w:hAnsi="仿宋" w:eastAsia="仿宋"/>
          <w:sz w:val="32"/>
          <w:szCs w:val="32"/>
        </w:rPr>
      </w:pPr>
      <w:r>
        <w:rPr>
          <w:rFonts w:hint="eastAsia" w:ascii="仿宋_GB2312" w:hAnsi="仿宋" w:eastAsia="仿宋_GB2312"/>
          <w:color w:val="000000"/>
          <w:sz w:val="28"/>
          <w:szCs w:val="28"/>
        </w:rPr>
        <w:t>备注：报价为含税全包价，包括提供服务的所有费用。</w:t>
      </w:r>
    </w:p>
    <w:p>
      <w:pPr>
        <w:pStyle w:val="2"/>
      </w:pP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3"/>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4 -</w:t>
                        </w:r>
                        <w:r>
                          <w:rPr>
                            <w:rFonts w:hint="eastAsia" w:ascii="宋体" w:hAnsi="宋体" w:eastAsia="宋体" w:cs="宋体"/>
                            <w:sz w:val="28"/>
                            <w:szCs w:val="28"/>
                          </w:rPr>
                          <w:fldChar w:fldCharType="end"/>
                        </w:r>
                      </w:p>
                    </w:sdtContent>
                  </w:sdt>
                  <w:p>
                    <w:pPr>
                      <w:pStyle w:val="23"/>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E0178"/>
    <w:rsid w:val="00162D26"/>
    <w:rsid w:val="001D6239"/>
    <w:rsid w:val="002A0A1C"/>
    <w:rsid w:val="002A70C4"/>
    <w:rsid w:val="002C71E2"/>
    <w:rsid w:val="00326531"/>
    <w:rsid w:val="003B4983"/>
    <w:rsid w:val="003F1BC3"/>
    <w:rsid w:val="004070F3"/>
    <w:rsid w:val="004435CC"/>
    <w:rsid w:val="00474130"/>
    <w:rsid w:val="004E4B2B"/>
    <w:rsid w:val="00536018"/>
    <w:rsid w:val="0054681F"/>
    <w:rsid w:val="00547E9F"/>
    <w:rsid w:val="00566030"/>
    <w:rsid w:val="005C6DC8"/>
    <w:rsid w:val="0069274E"/>
    <w:rsid w:val="006C55AC"/>
    <w:rsid w:val="00730153"/>
    <w:rsid w:val="007B7BBF"/>
    <w:rsid w:val="008150C9"/>
    <w:rsid w:val="00850521"/>
    <w:rsid w:val="00854C04"/>
    <w:rsid w:val="008745C9"/>
    <w:rsid w:val="008B1554"/>
    <w:rsid w:val="008C65D2"/>
    <w:rsid w:val="00902B6A"/>
    <w:rsid w:val="009068B7"/>
    <w:rsid w:val="00924BC5"/>
    <w:rsid w:val="00991005"/>
    <w:rsid w:val="00996968"/>
    <w:rsid w:val="009C1668"/>
    <w:rsid w:val="00A23005"/>
    <w:rsid w:val="00A706D3"/>
    <w:rsid w:val="00A84DA1"/>
    <w:rsid w:val="00AA39A5"/>
    <w:rsid w:val="00AD2F13"/>
    <w:rsid w:val="00AE4481"/>
    <w:rsid w:val="00BA7D68"/>
    <w:rsid w:val="00BD48C2"/>
    <w:rsid w:val="00C435AD"/>
    <w:rsid w:val="00C6294B"/>
    <w:rsid w:val="00D14258"/>
    <w:rsid w:val="00D40D26"/>
    <w:rsid w:val="00DA4C85"/>
    <w:rsid w:val="00E24DD2"/>
    <w:rsid w:val="00E72466"/>
    <w:rsid w:val="00E83238"/>
    <w:rsid w:val="00EB03AE"/>
    <w:rsid w:val="00EE1DD3"/>
    <w:rsid w:val="00F812DD"/>
    <w:rsid w:val="00F83D6D"/>
    <w:rsid w:val="00FA33F9"/>
    <w:rsid w:val="00FE2FC0"/>
    <w:rsid w:val="023340C8"/>
    <w:rsid w:val="03923DE0"/>
    <w:rsid w:val="05B9052D"/>
    <w:rsid w:val="09023CF6"/>
    <w:rsid w:val="0DBC0BBA"/>
    <w:rsid w:val="0E76520D"/>
    <w:rsid w:val="11230F50"/>
    <w:rsid w:val="116D239E"/>
    <w:rsid w:val="13E76BAD"/>
    <w:rsid w:val="14E46C49"/>
    <w:rsid w:val="161D3B2C"/>
    <w:rsid w:val="1A4C59BC"/>
    <w:rsid w:val="24D97E4C"/>
    <w:rsid w:val="2F6D7037"/>
    <w:rsid w:val="324F79A0"/>
    <w:rsid w:val="362A0508"/>
    <w:rsid w:val="371E780B"/>
    <w:rsid w:val="372E04CB"/>
    <w:rsid w:val="3795122B"/>
    <w:rsid w:val="390F70E1"/>
    <w:rsid w:val="39E92488"/>
    <w:rsid w:val="40EE65D6"/>
    <w:rsid w:val="41F8770C"/>
    <w:rsid w:val="455F7AA2"/>
    <w:rsid w:val="45E16709"/>
    <w:rsid w:val="48A47285"/>
    <w:rsid w:val="4B313270"/>
    <w:rsid w:val="4D630BFB"/>
    <w:rsid w:val="507F3EA0"/>
    <w:rsid w:val="50B769E4"/>
    <w:rsid w:val="52DE290D"/>
    <w:rsid w:val="5B290B78"/>
    <w:rsid w:val="5E5D0BCB"/>
    <w:rsid w:val="60D5619C"/>
    <w:rsid w:val="61D32E0B"/>
    <w:rsid w:val="66533C9C"/>
    <w:rsid w:val="68925915"/>
    <w:rsid w:val="694B3E8B"/>
    <w:rsid w:val="6C4038D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260" w:after="260" w:line="416" w:lineRule="atLeast"/>
      <w:outlineLvl w:val="2"/>
    </w:pPr>
    <w:rPr>
      <w:b/>
      <w:bCs/>
      <w:szCs w:val="32"/>
    </w:rPr>
  </w:style>
  <w:style w:type="paragraph" w:styleId="3">
    <w:name w:val="heading 4"/>
    <w:basedOn w:val="1"/>
    <w:next w:val="1"/>
    <w:link w:val="12"/>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13"/>
    <w:autoRedefine/>
    <w:qFormat/>
    <w:uiPriority w:val="0"/>
    <w:pPr>
      <w:spacing w:after="120" w:line="480" w:lineRule="auto"/>
      <w:ind w:left="420" w:leftChars="200"/>
    </w:pPr>
  </w:style>
  <w:style w:type="paragraph" w:styleId="5">
    <w:name w:val="Balloon Text"/>
    <w:basedOn w:val="1"/>
    <w:link w:val="15"/>
    <w:autoRedefine/>
    <w:semiHidden/>
    <w:unhideWhenUsed/>
    <w:qFormat/>
    <w:uiPriority w:val="99"/>
    <w:rPr>
      <w:sz w:val="18"/>
      <w:szCs w:val="18"/>
    </w:rPr>
  </w:style>
  <w:style w:type="paragraph" w:styleId="6">
    <w:name w:val="footer"/>
    <w:basedOn w:val="1"/>
    <w:link w:val="11"/>
    <w:autoRedefine/>
    <w:unhideWhenUsed/>
    <w:qFormat/>
    <w:uiPriority w:val="99"/>
    <w:pPr>
      <w:tabs>
        <w:tab w:val="center" w:pos="4153"/>
        <w:tab w:val="right" w:pos="8306"/>
      </w:tabs>
      <w:snapToGrid w:val="0"/>
      <w:jc w:val="left"/>
    </w:pPr>
    <w:rPr>
      <w:sz w:val="18"/>
      <w:szCs w:val="18"/>
    </w:rPr>
  </w:style>
  <w:style w:type="paragraph" w:styleId="7">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autoRedefine/>
    <w:qFormat/>
    <w:uiPriority w:val="99"/>
    <w:rPr>
      <w:sz w:val="18"/>
      <w:szCs w:val="18"/>
    </w:rPr>
  </w:style>
  <w:style w:type="character" w:customStyle="1" w:styleId="11">
    <w:name w:val="页脚 Char"/>
    <w:basedOn w:val="9"/>
    <w:link w:val="6"/>
    <w:autoRedefine/>
    <w:qFormat/>
    <w:uiPriority w:val="99"/>
    <w:rPr>
      <w:sz w:val="18"/>
      <w:szCs w:val="18"/>
    </w:rPr>
  </w:style>
  <w:style w:type="character" w:customStyle="1" w:styleId="12">
    <w:name w:val="标题 4 Char"/>
    <w:basedOn w:val="9"/>
    <w:link w:val="3"/>
    <w:autoRedefine/>
    <w:qFormat/>
    <w:uiPriority w:val="9"/>
    <w:rPr>
      <w:rFonts w:ascii="Cambria" w:hAnsi="Cambria"/>
      <w:b/>
      <w:kern w:val="0"/>
      <w:sz w:val="28"/>
      <w:szCs w:val="20"/>
    </w:rPr>
  </w:style>
  <w:style w:type="character" w:customStyle="1" w:styleId="13">
    <w:name w:val="正文文本缩进 2 Char"/>
    <w:basedOn w:val="9"/>
    <w:link w:val="4"/>
    <w:autoRedefine/>
    <w:qFormat/>
    <w:uiPriority w:val="0"/>
  </w:style>
  <w:style w:type="paragraph" w:customStyle="1" w:styleId="14">
    <w:name w:val="表格"/>
    <w:basedOn w:val="1"/>
    <w:autoRedefine/>
    <w:qFormat/>
    <w:uiPriority w:val="0"/>
    <w:pPr>
      <w:jc w:val="center"/>
    </w:pPr>
    <w:rPr>
      <w:rFonts w:ascii="仿宋" w:hAnsi="仿宋" w:eastAsia="仿宋"/>
      <w:szCs w:val="21"/>
    </w:rPr>
  </w:style>
  <w:style w:type="character" w:customStyle="1" w:styleId="15">
    <w:name w:val="批注框文本 Char"/>
    <w:basedOn w:val="9"/>
    <w:link w:val="5"/>
    <w:autoRedefine/>
    <w:semiHidden/>
    <w:qFormat/>
    <w:uiPriority w:val="99"/>
    <w:rPr>
      <w:kern w:val="2"/>
      <w:sz w:val="18"/>
      <w:szCs w:val="18"/>
    </w:rPr>
  </w:style>
  <w:style w:type="character" w:customStyle="1" w:styleId="16">
    <w:name w:val="font71"/>
    <w:basedOn w:val="9"/>
    <w:autoRedefine/>
    <w:qFormat/>
    <w:uiPriority w:val="0"/>
    <w:rPr>
      <w:rFonts w:hint="eastAsia" w:ascii="宋体" w:hAnsi="宋体" w:eastAsia="宋体" w:cs="宋体"/>
      <w:b/>
      <w:bCs/>
      <w:color w:val="000000"/>
      <w:sz w:val="22"/>
      <w:szCs w:val="22"/>
      <w:u w:val="none"/>
    </w:rPr>
  </w:style>
  <w:style w:type="character" w:customStyle="1" w:styleId="17">
    <w:name w:val="font31"/>
    <w:basedOn w:val="9"/>
    <w:autoRedefine/>
    <w:qFormat/>
    <w:uiPriority w:val="0"/>
    <w:rPr>
      <w:rFonts w:hint="eastAsia" w:ascii="微软雅黑" w:hAnsi="微软雅黑" w:eastAsia="微软雅黑" w:cs="微软雅黑"/>
      <w:color w:val="000000"/>
      <w:sz w:val="20"/>
      <w:szCs w:val="20"/>
      <w:u w:val="none"/>
    </w:rPr>
  </w:style>
  <w:style w:type="character" w:customStyle="1" w:styleId="18">
    <w:name w:val="font81"/>
    <w:basedOn w:val="9"/>
    <w:autoRedefine/>
    <w:qFormat/>
    <w:uiPriority w:val="0"/>
    <w:rPr>
      <w:rFonts w:hint="eastAsia" w:ascii="宋体" w:hAnsi="宋体" w:eastAsia="宋体" w:cs="宋体"/>
      <w:color w:val="000000"/>
      <w:sz w:val="20"/>
      <w:szCs w:val="20"/>
      <w:u w:val="none"/>
    </w:rPr>
  </w:style>
  <w:style w:type="character" w:customStyle="1" w:styleId="19">
    <w:name w:val="font61"/>
    <w:basedOn w:val="9"/>
    <w:autoRedefine/>
    <w:qFormat/>
    <w:uiPriority w:val="0"/>
    <w:rPr>
      <w:rFonts w:hint="eastAsia" w:ascii="宋体" w:hAnsi="宋体" w:eastAsia="宋体" w:cs="宋体"/>
      <w:b/>
      <w:bCs/>
      <w:color w:val="000000"/>
      <w:sz w:val="24"/>
      <w:szCs w:val="24"/>
      <w:u w:val="none"/>
    </w:rPr>
  </w:style>
  <w:style w:type="character" w:customStyle="1" w:styleId="20">
    <w:name w:val="font01"/>
    <w:basedOn w:val="9"/>
    <w:autoRedefine/>
    <w:qFormat/>
    <w:uiPriority w:val="0"/>
    <w:rPr>
      <w:rFonts w:hint="eastAsia" w:ascii="宋体" w:hAnsi="宋体" w:eastAsia="宋体" w:cs="宋体"/>
      <w:color w:val="000000"/>
      <w:sz w:val="24"/>
      <w:szCs w:val="24"/>
      <w:u w:val="none"/>
    </w:rPr>
  </w:style>
  <w:style w:type="character" w:customStyle="1" w:styleId="21">
    <w:name w:val="font11"/>
    <w:basedOn w:val="9"/>
    <w:autoRedefine/>
    <w:qFormat/>
    <w:uiPriority w:val="0"/>
    <w:rPr>
      <w:rFonts w:hint="eastAsia" w:ascii="宋体" w:hAnsi="宋体" w:eastAsia="宋体" w:cs="宋体"/>
      <w:b/>
      <w:bCs/>
      <w:color w:val="000000"/>
      <w:sz w:val="24"/>
      <w:szCs w:val="24"/>
      <w:u w:val="none"/>
    </w:rPr>
  </w:style>
  <w:style w:type="character" w:customStyle="1" w:styleId="22">
    <w:name w:val="font21"/>
    <w:basedOn w:val="9"/>
    <w:autoRedefine/>
    <w:qFormat/>
    <w:uiPriority w:val="0"/>
    <w:rPr>
      <w:rFonts w:ascii="微软雅黑" w:hAnsi="微软雅黑" w:eastAsia="微软雅黑" w:cs="微软雅黑"/>
      <w:color w:val="000000"/>
      <w:sz w:val="20"/>
      <w:szCs w:val="20"/>
      <w:u w:val="none"/>
    </w:rPr>
  </w:style>
  <w:style w:type="paragraph" w:customStyle="1" w:styleId="23">
    <w:name w:val="Default"/>
    <w:autoRedefine/>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489</Words>
  <Characters>2792</Characters>
  <Lines>23</Lines>
  <Paragraphs>6</Paragraphs>
  <TotalTime>6</TotalTime>
  <ScaleCrop>false</ScaleCrop>
  <LinksUpToDate>false</LinksUpToDate>
  <CharactersWithSpaces>3275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dcterms:modified xsi:type="dcterms:W3CDTF">2024-02-19T04:44:31Z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A7F9D667B2994D08843E67FCFA73CC67_13</vt:lpwstr>
  </property>
</Properties>
</file>