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跨海大桥高架路二期剩余匝道环评及验收询价</w:t>
      </w:r>
      <w:r>
        <w:rPr>
          <w:rFonts w:hint="eastAsia" w:ascii="方正小标宋_GBK" w:eastAsia="方正小标宋_GBK"/>
          <w:sz w:val="44"/>
          <w:szCs w:val="44"/>
        </w:rPr>
        <w:t>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1.采购单位：</w:t>
      </w:r>
      <w:r>
        <w:rPr>
          <w:rFonts w:hint="eastAsia" w:ascii="仿宋_GB2312" w:hAnsi="宋体" w:eastAsia="仿宋_GB2312" w:cs="宋体"/>
          <w:kern w:val="0"/>
          <w:sz w:val="32"/>
          <w:szCs w:val="32"/>
        </w:rPr>
        <w:t>青岛城投路桥投资发展有限公司</w:t>
      </w:r>
    </w:p>
    <w:p>
      <w:pPr>
        <w:adjustRightInd/>
        <w:snapToGrid/>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宋体" w:eastAsia="仿宋_GB2312" w:cs="宋体"/>
          <w:kern w:val="0"/>
          <w:sz w:val="32"/>
          <w:szCs w:val="32"/>
        </w:rPr>
        <w:t>跨海大桥高架路二期-青银高速立交剩余匝道及地面道路工程环境影响报告编制及环保竣工验收</w:t>
      </w:r>
      <w:r>
        <w:rPr>
          <w:rFonts w:hint="eastAsia" w:ascii="仿宋_GB2312" w:hAnsi="宋体" w:eastAsia="仿宋_GB2312" w:cs="宋体"/>
          <w:kern w:val="0"/>
          <w:sz w:val="32"/>
          <w:szCs w:val="32"/>
          <w:lang w:val="en-US" w:eastAsia="zh-CN"/>
        </w:rPr>
        <w:t>编制</w:t>
      </w:r>
    </w:p>
    <w:p>
      <w:pPr>
        <w:spacing w:line="560" w:lineRule="exact"/>
        <w:ind w:firstLine="64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工程概况：</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工程包含跨海大桥高架路二期-青银高速立交剩余5条匝道（南向西定向匝道、南向东定向匝道、北向东环形匝道、北向西接地匝道、东向北定向匝道）、青银高速东半幅辅助车道以及立交区规划滁州路地面道路。匝道总长2185米，辅助车道长765米，地面道路长230米，以及青银高速东收费站改造工程等。主要建设内容包括道路、桥梁、管线、环境整治、交通设施、收费站改造等工程</w:t>
      </w:r>
      <w:r>
        <w:rPr>
          <w:rFonts w:hint="eastAsia" w:ascii="仿宋_GB2312" w:hAnsi="宋体" w:eastAsia="仿宋_GB2312" w:cs="宋体"/>
          <w:kern w:val="0"/>
          <w:sz w:val="32"/>
          <w:szCs w:val="32"/>
          <w:lang w:val="zh-CN"/>
        </w:rPr>
        <w:t>。项目计划总投资</w:t>
      </w:r>
      <w:r>
        <w:rPr>
          <w:rFonts w:hint="eastAsia" w:ascii="仿宋_GB2312" w:hAnsi="宋体" w:eastAsia="仿宋_GB2312" w:cs="宋体"/>
          <w:kern w:val="0"/>
          <w:sz w:val="32"/>
          <w:szCs w:val="32"/>
        </w:rPr>
        <w:t>48189万</w:t>
      </w:r>
      <w:r>
        <w:rPr>
          <w:rFonts w:hint="eastAsia" w:ascii="仿宋_GB2312" w:hAnsi="宋体" w:eastAsia="仿宋_GB2312" w:cs="宋体"/>
          <w:kern w:val="0"/>
          <w:sz w:val="32"/>
          <w:szCs w:val="32"/>
          <w:lang w:val="zh-CN"/>
        </w:rPr>
        <w:t>元。</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服务内容：</w:t>
      </w:r>
      <w:r>
        <w:rPr>
          <w:rFonts w:hint="eastAsia" w:ascii="仿宋_GB2312" w:hAnsi="宋体" w:eastAsia="仿宋_GB2312" w:cs="宋体"/>
          <w:kern w:val="0"/>
          <w:sz w:val="32"/>
          <w:szCs w:val="32"/>
        </w:rPr>
        <w:t>跨海大桥高架路二期-青银高速立交剩余匝道及地面道路工程环境影响评价报告表</w:t>
      </w:r>
      <w:r>
        <w:rPr>
          <w:rFonts w:hint="eastAsia" w:ascii="仿宋_GB2312" w:hAnsi="宋体" w:eastAsia="仿宋_GB2312" w:cs="宋体"/>
          <w:color w:val="auto"/>
          <w:kern w:val="0"/>
          <w:sz w:val="32"/>
          <w:szCs w:val="32"/>
        </w:rPr>
        <w:t>及噪</w:t>
      </w:r>
      <w:r>
        <w:rPr>
          <w:rFonts w:hint="eastAsia" w:ascii="仿宋_GB2312" w:hAnsi="宋体" w:eastAsia="仿宋_GB2312" w:cs="宋体"/>
          <w:color w:val="auto"/>
          <w:kern w:val="0"/>
          <w:sz w:val="32"/>
          <w:szCs w:val="32"/>
          <w:lang w:val="en-US" w:eastAsia="zh-CN"/>
        </w:rPr>
        <w:t>声</w:t>
      </w:r>
      <w:r>
        <w:rPr>
          <w:rFonts w:hint="eastAsia" w:ascii="仿宋_GB2312" w:hAnsi="宋体" w:eastAsia="仿宋_GB2312" w:cs="宋体"/>
          <w:color w:val="auto"/>
          <w:kern w:val="0"/>
          <w:sz w:val="32"/>
          <w:szCs w:val="32"/>
        </w:rPr>
        <w:t>专项评价编制、竣工环境保护验收报告表编制。</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5.服务地点：</w:t>
      </w:r>
      <w:r>
        <w:rPr>
          <w:rFonts w:hint="eastAsia" w:ascii="仿宋_GB2312" w:hAnsi="宋体" w:eastAsia="仿宋_GB2312" w:cs="宋体"/>
          <w:kern w:val="0"/>
          <w:sz w:val="32"/>
          <w:szCs w:val="32"/>
        </w:rPr>
        <w:t>崂山区</w:t>
      </w:r>
    </w:p>
    <w:p>
      <w:pPr>
        <w:widowControl/>
        <w:spacing w:line="540" w:lineRule="exact"/>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6.采购预算：</w:t>
      </w:r>
      <w:r>
        <w:rPr>
          <w:rFonts w:hint="eastAsia" w:ascii="仿宋_GB2312" w:hAnsi="宋体" w:eastAsia="仿宋_GB2312" w:cs="宋体"/>
          <w:kern w:val="0"/>
          <w:sz w:val="32"/>
          <w:szCs w:val="32"/>
          <w:lang w:val="en-US" w:eastAsia="zh-CN"/>
        </w:rPr>
        <w:t>12.5</w:t>
      </w:r>
      <w:r>
        <w:rPr>
          <w:rFonts w:hint="eastAsia" w:ascii="仿宋_GB2312" w:hAnsi="宋体" w:eastAsia="仿宋_GB2312" w:cs="宋体"/>
          <w:kern w:val="0"/>
          <w:sz w:val="32"/>
          <w:szCs w:val="32"/>
          <w:lang w:val="zh-CN"/>
        </w:rPr>
        <w:t>万元。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spacing w:line="360" w:lineRule="auto"/>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1.在中华人民共和国境内注册，具有独立法人资格，应具有环保咨询或技术咨询营业范围；</w:t>
      </w:r>
    </w:p>
    <w:p>
      <w:pPr>
        <w:spacing w:line="360" w:lineRule="auto"/>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2.近三年（202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val="zh-CN"/>
        </w:rPr>
        <w:t>年1月1日至今）承接过市政工程环评（</w:t>
      </w:r>
      <w:r>
        <w:rPr>
          <w:rFonts w:hint="eastAsia" w:ascii="仿宋_GB2312" w:hAnsi="宋体" w:eastAsia="仿宋_GB2312" w:cs="宋体"/>
          <w:kern w:val="0"/>
          <w:sz w:val="32"/>
          <w:szCs w:val="32"/>
          <w:lang w:val="en-US" w:eastAsia="zh-CN"/>
        </w:rPr>
        <w:t>需包含环评编制或环保竣工验收</w:t>
      </w:r>
      <w:r>
        <w:rPr>
          <w:rFonts w:hint="eastAsia" w:ascii="仿宋_GB2312" w:hAnsi="宋体" w:eastAsia="仿宋_GB2312" w:cs="宋体"/>
          <w:kern w:val="0"/>
          <w:sz w:val="32"/>
          <w:szCs w:val="32"/>
          <w:lang w:val="zh-CN"/>
        </w:rPr>
        <w:t>）相关同类业绩。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1.1资料搜集和现场调访</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收集当地有关历史资料，结合初设阶段工作成果和工程总平面布置方案，按照有关规范的要求，对资料和成果进行分析整理，获得环境影响报告表编制所需的资料。依据前期成果资料，开展工程分析相关内容。</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1.2自然环境资料现场调查与评价</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根据《建设项目环境影响评价分类管理名录》、《环境影响评价技术导则》等文件，结合项目评价需求开展相关调查与评价工作。</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1.3环境影响预测与评价</w:t>
      </w:r>
    </w:p>
    <w:p>
      <w:pPr>
        <w:widowControl/>
        <w:ind w:firstLine="64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根据《建设项目环境影响评价分类管理名录》、《环境影响评价技术导则》等文件，结合项目评价需求开展</w:t>
      </w:r>
      <w:r>
        <w:rPr>
          <w:rFonts w:hint="eastAsia" w:ascii="仿宋_GB2312" w:hAnsi="宋体" w:eastAsia="仿宋_GB2312" w:cs="宋体"/>
          <w:kern w:val="0"/>
          <w:sz w:val="32"/>
          <w:szCs w:val="32"/>
          <w:lang w:val="en-US" w:eastAsia="zh-CN"/>
        </w:rPr>
        <w:t>环境影响</w:t>
      </w:r>
      <w:r>
        <w:rPr>
          <w:rFonts w:hint="eastAsia" w:ascii="仿宋_GB2312" w:hAnsi="宋体" w:eastAsia="仿宋_GB2312" w:cs="宋体"/>
          <w:kern w:val="0"/>
          <w:sz w:val="32"/>
          <w:szCs w:val="32"/>
          <w:highlight w:val="none"/>
          <w:lang w:eastAsia="zh-CN"/>
        </w:rPr>
        <w:t>及噪声监测</w:t>
      </w:r>
      <w:r>
        <w:rPr>
          <w:rFonts w:hint="eastAsia" w:ascii="仿宋_GB2312" w:hAnsi="宋体" w:eastAsia="仿宋_GB2312" w:cs="宋体"/>
          <w:kern w:val="0"/>
          <w:sz w:val="32"/>
          <w:szCs w:val="32"/>
        </w:rPr>
        <w:t>相关调查与评价工作</w:t>
      </w:r>
      <w:r>
        <w:rPr>
          <w:rFonts w:hint="eastAsia" w:ascii="仿宋_GB2312" w:hAnsi="宋体" w:eastAsia="仿宋_GB2312" w:cs="宋体"/>
          <w:kern w:val="0"/>
          <w:sz w:val="32"/>
          <w:szCs w:val="32"/>
          <w:lang w:val="en-US" w:eastAsia="zh-CN"/>
        </w:rPr>
        <w:t>,并对项目涉及环境敏感区的影响做重点分析</w:t>
      </w:r>
      <w:r>
        <w:rPr>
          <w:rFonts w:hint="eastAsia" w:ascii="仿宋_GB2312" w:hAnsi="宋体" w:eastAsia="仿宋_GB2312" w:cs="宋体"/>
          <w:kern w:val="0"/>
          <w:sz w:val="32"/>
          <w:szCs w:val="32"/>
          <w:lang w:eastAsia="zh-CN"/>
        </w:rPr>
        <w:t>。</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1.4环保对策措施</w:t>
      </w:r>
    </w:p>
    <w:p>
      <w:pPr>
        <w:widowControl/>
        <w:ind w:firstLine="640"/>
        <w:jc w:val="left"/>
        <w:rPr>
          <w:rFonts w:ascii="仿宋_GB2312" w:hAnsi="宋体" w:eastAsia="仿宋_GB2312" w:cs="宋体"/>
          <w:color w:val="auto"/>
          <w:kern w:val="0"/>
          <w:sz w:val="32"/>
          <w:szCs w:val="32"/>
        </w:rPr>
      </w:pPr>
      <w:r>
        <w:rPr>
          <w:rFonts w:hint="eastAsia" w:ascii="仿宋_GB2312" w:hAnsi="宋体" w:eastAsia="仿宋_GB2312" w:cs="宋体"/>
          <w:kern w:val="0"/>
          <w:sz w:val="32"/>
          <w:szCs w:val="32"/>
        </w:rPr>
        <w:t>结合项目特</w:t>
      </w:r>
      <w:r>
        <w:rPr>
          <w:rFonts w:hint="eastAsia" w:ascii="仿宋_GB2312" w:hAnsi="宋体" w:eastAsia="仿宋_GB2312" w:cs="宋体"/>
          <w:color w:val="auto"/>
          <w:kern w:val="0"/>
          <w:sz w:val="32"/>
          <w:szCs w:val="32"/>
        </w:rPr>
        <w:t>征，根据需要建立模型预测，并根据成果分析项目对环境的影响，编制突发环境事件应急预案、风险评估报告等。</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color w:val="auto"/>
          <w:kern w:val="0"/>
          <w:sz w:val="32"/>
          <w:szCs w:val="32"/>
        </w:rPr>
        <w:t>根据项目特征、施工组织方案，制定可行的环保对策措施以及应急预案，提出环保投</w:t>
      </w:r>
      <w:r>
        <w:rPr>
          <w:rFonts w:hint="eastAsia" w:ascii="仿宋_GB2312" w:hAnsi="宋体" w:eastAsia="仿宋_GB2312" w:cs="宋体"/>
          <w:kern w:val="0"/>
          <w:sz w:val="32"/>
          <w:szCs w:val="32"/>
        </w:rPr>
        <w:t>资。</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1.5环境可行性结论及建议</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所编制报告表应符合相关法律法规和技术规范要求，并通过专业评估机构评估、取得环保部门批复。</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1.6竣工环境保护验收服务要求</w:t>
      </w:r>
    </w:p>
    <w:p>
      <w:pPr>
        <w:widowControl/>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根据国家竣工环境保护验收技术指南要求，完成项目竣工环境保</w:t>
      </w:r>
      <w:r>
        <w:rPr>
          <w:rFonts w:hint="eastAsia" w:ascii="仿宋_GB2312" w:hAnsi="宋体" w:eastAsia="仿宋_GB2312" w:cs="宋体"/>
          <w:kern w:val="0"/>
          <w:sz w:val="32"/>
          <w:szCs w:val="32"/>
          <w:highlight w:val="none"/>
        </w:rPr>
        <w:t>护验收</w:t>
      </w:r>
      <w:r>
        <w:rPr>
          <w:rFonts w:hint="eastAsia" w:ascii="仿宋_GB2312" w:hAnsi="宋体" w:eastAsia="仿宋_GB2312" w:cs="宋体"/>
          <w:kern w:val="0"/>
          <w:sz w:val="32"/>
          <w:szCs w:val="32"/>
          <w:highlight w:val="none"/>
          <w:lang w:eastAsia="zh-CN"/>
        </w:rPr>
        <w:t>及噪声监测</w:t>
      </w:r>
      <w:r>
        <w:rPr>
          <w:rFonts w:hint="eastAsia" w:ascii="仿宋_GB2312" w:hAnsi="宋体" w:eastAsia="仿宋_GB2312" w:cs="宋体"/>
          <w:kern w:val="0"/>
          <w:sz w:val="32"/>
          <w:szCs w:val="32"/>
          <w:highlight w:val="none"/>
        </w:rPr>
        <w:t>工作，编制竣</w:t>
      </w:r>
      <w:r>
        <w:rPr>
          <w:rFonts w:hint="eastAsia" w:ascii="仿宋_GB2312" w:hAnsi="宋体" w:eastAsia="仿宋_GB2312" w:cs="宋体"/>
          <w:kern w:val="0"/>
          <w:sz w:val="32"/>
          <w:szCs w:val="32"/>
        </w:rPr>
        <w:t>工环境保护验收报告表，编制完成后，组织专家评审会进行评审，根据评审意见修正。</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质量要求：</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2.1完成环境影响报告表编制相关工作并提交成果报告，成果</w:t>
      </w:r>
      <w:r>
        <w:rPr>
          <w:rFonts w:hint="eastAsia" w:ascii="仿宋_GB2312" w:hAnsi="宋体" w:eastAsia="仿宋_GB2312" w:cs="宋体"/>
          <w:kern w:val="0"/>
          <w:sz w:val="32"/>
          <w:szCs w:val="32"/>
          <w:lang w:eastAsia="zh-CN"/>
        </w:rPr>
        <w:t>报告</w:t>
      </w:r>
      <w:r>
        <w:rPr>
          <w:rFonts w:hint="eastAsia" w:ascii="仿宋_GB2312" w:hAnsi="宋体" w:eastAsia="仿宋_GB2312" w:cs="宋体"/>
          <w:kern w:val="0"/>
          <w:sz w:val="32"/>
          <w:szCs w:val="32"/>
        </w:rPr>
        <w:t>须</w:t>
      </w:r>
      <w:r>
        <w:rPr>
          <w:rFonts w:hint="eastAsia" w:ascii="仿宋_GB2312" w:hAnsi="宋体" w:eastAsia="仿宋_GB2312" w:cs="宋体"/>
          <w:kern w:val="0"/>
          <w:sz w:val="32"/>
          <w:szCs w:val="32"/>
          <w:lang w:eastAsia="zh-CN"/>
        </w:rPr>
        <w:t>符合环保部门要求，并</w:t>
      </w:r>
      <w:r>
        <w:rPr>
          <w:rFonts w:hint="eastAsia" w:ascii="仿宋_GB2312" w:hAnsi="宋体" w:eastAsia="仿宋_GB2312" w:cs="宋体"/>
          <w:kern w:val="0"/>
          <w:sz w:val="32"/>
          <w:szCs w:val="32"/>
        </w:rPr>
        <w:t>取得环保部门的批复。</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2.2完成竣工环境保护验收报告表编制相关工作并提交成果，成果须通过专家评审并取得专家评审意见。</w:t>
      </w:r>
    </w:p>
    <w:p>
      <w:pPr>
        <w:widowControl/>
        <w:numPr>
          <w:ilvl w:val="0"/>
          <w:numId w:val="0"/>
        </w:numPr>
        <w:ind w:firstLine="640" w:firstLineChars="0"/>
        <w:jc w:val="left"/>
        <w:rPr>
          <w:rFonts w:ascii="仿宋_GB2312" w:hAnsi="宋体" w:eastAsia="仿宋_GB2312" w:cs="宋体"/>
          <w:kern w:val="0"/>
          <w:sz w:val="32"/>
          <w:szCs w:val="32"/>
        </w:rPr>
      </w:pPr>
      <w:r>
        <w:rPr>
          <w:rFonts w:ascii="仿宋_GB2312" w:hAnsi="宋体" w:eastAsia="仿宋_GB2312" w:cs="宋体"/>
          <w:kern w:val="0"/>
          <w:sz w:val="32"/>
          <w:szCs w:val="32"/>
          <w:lang w:val="en-US" w:eastAsia="zh-CN" w:bidi="ar-SA"/>
        </w:rPr>
        <w:t>3.</w:t>
      </w:r>
      <w:r>
        <w:rPr>
          <w:rFonts w:hint="eastAsia" w:ascii="仿宋_GB2312" w:hAnsi="宋体" w:eastAsia="仿宋_GB2312" w:cs="宋体"/>
          <w:kern w:val="0"/>
          <w:sz w:val="32"/>
          <w:szCs w:val="32"/>
        </w:rPr>
        <w:t>人员要求：项目负责人1人，须具有工程类高级工程师及环境影响评价工程师证书；项目组成员不少于2人，</w:t>
      </w:r>
      <w:r>
        <w:rPr>
          <w:rFonts w:hint="eastAsia" w:ascii="仿宋_GB2312" w:hAnsi="宋体" w:eastAsia="仿宋_GB2312" w:cs="宋体"/>
          <w:kern w:val="0"/>
          <w:sz w:val="32"/>
          <w:szCs w:val="32"/>
          <w:lang w:eastAsia="zh-CN"/>
        </w:rPr>
        <w:t>具有</w:t>
      </w:r>
      <w:r>
        <w:rPr>
          <w:rFonts w:hint="eastAsia" w:ascii="仿宋_GB2312" w:hAnsi="宋体" w:eastAsia="仿宋_GB2312" w:cs="宋体"/>
          <w:kern w:val="0"/>
          <w:sz w:val="32"/>
          <w:szCs w:val="32"/>
          <w:lang w:val="en-US" w:eastAsia="zh-CN"/>
        </w:rPr>
        <w:t>环保相关专业工程师</w:t>
      </w:r>
      <w:r>
        <w:rPr>
          <w:rFonts w:hint="eastAsia" w:ascii="仿宋_GB2312" w:hAnsi="宋体" w:eastAsia="仿宋_GB2312" w:cs="宋体"/>
          <w:kern w:val="0"/>
          <w:sz w:val="32"/>
          <w:szCs w:val="32"/>
        </w:rPr>
        <w:t>。</w:t>
      </w:r>
    </w:p>
    <w:p>
      <w:pPr>
        <w:widowControl/>
        <w:numPr>
          <w:ilvl w:val="0"/>
          <w:numId w:val="0"/>
        </w:numPr>
        <w:ind w:firstLine="640" w:firstLineChars="0"/>
        <w:jc w:val="left"/>
        <w:rPr>
          <w:rFonts w:ascii="仿宋_GB2312" w:hAnsi="宋体" w:eastAsia="仿宋_GB2312" w:cs="宋体"/>
          <w:kern w:val="0"/>
          <w:sz w:val="32"/>
          <w:szCs w:val="32"/>
        </w:rPr>
      </w:pPr>
      <w:r>
        <w:rPr>
          <w:rFonts w:ascii="仿宋_GB2312" w:hAnsi="宋体" w:eastAsia="仿宋_GB2312" w:cs="宋体"/>
          <w:kern w:val="0"/>
          <w:sz w:val="32"/>
          <w:szCs w:val="32"/>
          <w:lang w:val="en-US" w:eastAsia="zh-CN" w:bidi="ar-SA"/>
        </w:rPr>
        <w:t>4.</w:t>
      </w:r>
      <w:r>
        <w:rPr>
          <w:rFonts w:hint="eastAsia" w:ascii="仿宋_GB2312" w:hAnsi="宋体" w:eastAsia="仿宋_GB2312" w:cs="宋体"/>
          <w:kern w:val="0"/>
          <w:sz w:val="32"/>
          <w:szCs w:val="32"/>
        </w:rPr>
        <w:t>服务期限：</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4.1环境评价服务期限：自签订合同起至环境影响评价报告表取得环保部门批复止。</w:t>
      </w:r>
    </w:p>
    <w:p>
      <w:pPr>
        <w:numPr>
          <w:ilvl w:val="255"/>
          <w:numId w:val="0"/>
        </w:num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4.2竣工环境保护验收服务期限：自项目竣工及投入使用之日起三个月内编制完成（具体时间根据发包人通知）竣工环境保护验收报告表并通过专家评审止。</w:t>
      </w:r>
    </w:p>
    <w:p>
      <w:pPr>
        <w:numPr>
          <w:ilvl w:val="255"/>
          <w:numId w:val="0"/>
        </w:numPr>
        <w:ind w:firstLine="640" w:firstLineChars="200"/>
        <w:rPr>
          <w:rFonts w:ascii="仿宋_GB2312" w:hAnsi="宋体" w:eastAsia="仿宋_GB2312" w:cs="宋体"/>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服务成果验收</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w:t>
      </w:r>
      <w:r>
        <w:rPr>
          <w:rFonts w:ascii="仿宋_GB2312" w:hAnsi="宋体" w:eastAsia="仿宋_GB2312" w:cs="宋体"/>
          <w:kern w:val="0"/>
          <w:sz w:val="32"/>
          <w:szCs w:val="32"/>
        </w:rPr>
        <w:t>1</w:t>
      </w:r>
      <w:r>
        <w:rPr>
          <w:rFonts w:hint="eastAsia" w:ascii="仿宋_GB2312" w:hAnsi="宋体" w:eastAsia="仿宋_GB2312" w:cs="宋体"/>
          <w:kern w:val="0"/>
          <w:sz w:val="32"/>
          <w:szCs w:val="32"/>
        </w:rPr>
        <w:t>相关成果文件需满足国家及地方的有关法规、标准；</w:t>
      </w:r>
    </w:p>
    <w:p>
      <w:pPr>
        <w:widowControl/>
        <w:numPr>
          <w:ilvl w:val="255"/>
          <w:numId w:val="0"/>
        </w:num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w:t>
      </w:r>
      <w:r>
        <w:rPr>
          <w:rFonts w:ascii="仿宋_GB2312" w:hAnsi="宋体" w:eastAsia="仿宋_GB2312" w:cs="宋体"/>
          <w:kern w:val="0"/>
          <w:sz w:val="32"/>
          <w:szCs w:val="32"/>
        </w:rPr>
        <w:t>2</w:t>
      </w:r>
      <w:r>
        <w:rPr>
          <w:rFonts w:hint="eastAsia" w:ascii="仿宋_GB2312" w:hAnsi="宋体" w:eastAsia="仿宋_GB2312" w:cs="宋体"/>
          <w:kern w:val="0"/>
          <w:sz w:val="32"/>
          <w:szCs w:val="32"/>
        </w:rPr>
        <w:t>完成环境影响评价报告表编制相关工作并提交成果，成果须取得环保部门的批复；完成竣工环境保护验收报告表编制相关工作并提交成果报告，成果须通过专家评审并取得专家评审意见。</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w:t>
      </w:r>
      <w:r>
        <w:rPr>
          <w:rFonts w:hint="eastAsia" w:ascii="仿宋_GB2312" w:eastAsia="仿宋_GB2312"/>
          <w:sz w:val="32"/>
          <w:szCs w:val="32"/>
          <w:lang w:val="en-US" w:eastAsia="zh-CN"/>
        </w:rPr>
        <w:t>上述</w:t>
      </w:r>
      <w:r>
        <w:rPr>
          <w:rFonts w:hint="eastAsia" w:ascii="仿宋_GB2312" w:eastAsia="仿宋_GB2312"/>
          <w:sz w:val="32"/>
          <w:szCs w:val="32"/>
        </w:rPr>
        <w:t>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2.投标最终报价不得高于采购预算，否则投标报价无效。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法人身份证明或授权委托书（附件1）、同类合同业绩（复印件）、报价承诺函（附件2）、报价单（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eastAsia="仿宋_GB2312"/>
          <w:sz w:val="32"/>
          <w:szCs w:val="32"/>
          <w:lang w:eastAsia="zh-CN"/>
        </w:rPr>
        <w:t>邮寄或</w:t>
      </w:r>
      <w:r>
        <w:rPr>
          <w:rFonts w:hint="eastAsia" w:ascii="仿宋_GB2312" w:eastAsia="仿宋_GB2312"/>
          <w:sz w:val="32"/>
          <w:szCs w:val="32"/>
        </w:rPr>
        <w:t>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adjustRightInd/>
        <w:snapToGrid/>
        <w:spacing w:line="240" w:lineRule="auto"/>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祁工</w:t>
      </w:r>
      <w:r>
        <w:rPr>
          <w:rFonts w:hint="eastAsia" w:ascii="仿宋_GB2312" w:hAnsi="宋体" w:eastAsia="仿宋_GB2312" w:cs="宋体"/>
          <w:kern w:val="0"/>
          <w:sz w:val="32"/>
          <w:szCs w:val="32"/>
        </w:rPr>
        <w:t xml:space="preserve">      电话：0532-677817</w:t>
      </w:r>
      <w:r>
        <w:rPr>
          <w:rFonts w:hint="eastAsia" w:ascii="仿宋_GB2312" w:hAnsi="宋体" w:eastAsia="仿宋_GB2312" w:cs="宋体"/>
          <w:kern w:val="0"/>
          <w:sz w:val="32"/>
          <w:szCs w:val="32"/>
          <w:lang w:val="en-US" w:eastAsia="zh-CN"/>
        </w:rPr>
        <w:t>79</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pStyle w:val="5"/>
        <w:ind w:left="0" w:leftChars="0"/>
        <w:jc w:val="right"/>
        <w:rPr>
          <w:rFonts w:hint="eastAsia" w:ascii="仿宋_GB2312" w:hAnsi="宋体" w:eastAsia="仿宋_GB2312" w:cs="宋体"/>
          <w:kern w:val="0"/>
          <w:sz w:val="32"/>
          <w:szCs w:val="32"/>
        </w:rPr>
      </w:pPr>
    </w:p>
    <w:p>
      <w:pPr>
        <w:pStyle w:val="5"/>
        <w:ind w:left="0" w:leftChars="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青岛城投路桥投资发展有限公司</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21</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5"/>
      </w:pPr>
    </w:p>
    <w:p>
      <w:pPr>
        <w:pStyle w:val="5"/>
      </w:pPr>
    </w:p>
    <w:p>
      <w:pPr>
        <w:pStyle w:val="5"/>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宋体" w:eastAsia="仿宋_GB2312" w:cs="宋体"/>
          <w:kern w:val="0"/>
          <w:sz w:val="28"/>
          <w:szCs w:val="28"/>
          <w:u w:val="single"/>
        </w:rPr>
        <w:t>青岛城投路桥投资发展有限公司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根据跨海大桥高架路二期-青银高速立交剩余匝道及地面道路工程环境影响报告编制及环保竣工验收</w:t>
      </w:r>
      <w:r>
        <w:rPr>
          <w:rFonts w:hint="eastAsia" w:ascii="仿宋_GB2312" w:hAnsi="仿宋" w:eastAsia="仿宋_GB2312"/>
          <w:color w:val="000000"/>
          <w:sz w:val="28"/>
          <w:szCs w:val="28"/>
          <w:lang w:val="en-US" w:eastAsia="zh-CN"/>
        </w:rPr>
        <w:t>编制</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5"/>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rPr>
          <w:rFonts w:ascii="仿宋_GB2312" w:hAnsi="宋体" w:eastAsia="仿宋_GB2312" w:cs="宋体"/>
          <w:kern w:val="0"/>
          <w:sz w:val="32"/>
          <w:szCs w:val="32"/>
        </w:rPr>
      </w:pPr>
      <w:bookmarkStart w:id="0" w:name="_GoBack"/>
      <w:r>
        <w:rPr>
          <w:rFonts w:hint="eastAsia" w:ascii="仿宋_GB2312" w:hAnsi="宋体" w:eastAsia="仿宋_GB2312" w:cs="宋体"/>
          <w:kern w:val="0"/>
          <w:sz w:val="32"/>
          <w:szCs w:val="32"/>
        </w:rPr>
        <w:t>附件3.报价单</w:t>
      </w:r>
    </w:p>
    <w:p>
      <w:pPr>
        <w:snapToGrid w:val="0"/>
        <w:spacing w:line="560" w:lineRule="exact"/>
        <w:jc w:val="center"/>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rPr>
        <w:t>报价单</w:t>
      </w:r>
    </w:p>
    <w:tbl>
      <w:tblPr>
        <w:tblStyle w:val="10"/>
        <w:tblW w:w="9452" w:type="dxa"/>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375"/>
        <w:gridCol w:w="5"/>
        <w:gridCol w:w="3849"/>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724"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3380" w:type="dxa"/>
            <w:gridSpan w:val="2"/>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3849" w:type="dxa"/>
            <w:vAlign w:val="center"/>
          </w:tcPr>
          <w:p>
            <w:pPr>
              <w:autoSpaceDE w:val="0"/>
              <w:autoSpaceDN w:val="0"/>
              <w:adjustRightInd w:val="0"/>
              <w:spacing w:line="360" w:lineRule="auto"/>
              <w:jc w:val="center"/>
              <w:rPr>
                <w:rFonts w:hint="eastAsia" w:ascii="仿宋" w:eastAsia="仿宋" w:cs="仿宋"/>
                <w:sz w:val="24"/>
                <w:lang w:val="zh-CN"/>
              </w:rPr>
            </w:pPr>
            <w:r>
              <w:rPr>
                <w:rFonts w:hint="eastAsia" w:ascii="仿宋" w:eastAsia="仿宋" w:cs="仿宋"/>
                <w:sz w:val="24"/>
                <w:lang w:val="zh-CN"/>
              </w:rPr>
              <w:t>报价（</w:t>
            </w:r>
            <w:r>
              <w:rPr>
                <w:rFonts w:hint="eastAsia" w:ascii="仿宋" w:eastAsia="仿宋" w:cs="仿宋" w:hAnsiTheme="minorHAnsi"/>
                <w:b w:val="0"/>
                <w:bCs w:val="0"/>
                <w:sz w:val="24"/>
                <w:szCs w:val="22"/>
                <w:lang w:val="zh-CN" w:eastAsia="zh-CN"/>
              </w:rPr>
              <w:t>元</w:t>
            </w:r>
            <w:r>
              <w:rPr>
                <w:rFonts w:hint="eastAsia" w:ascii="仿宋" w:eastAsia="仿宋" w:cs="仿宋"/>
                <w:sz w:val="24"/>
                <w:lang w:val="zh-CN"/>
              </w:rPr>
              <w:t>）</w:t>
            </w:r>
          </w:p>
        </w:tc>
        <w:tc>
          <w:tcPr>
            <w:tcW w:w="1499" w:type="dxa"/>
            <w:vAlign w:val="center"/>
          </w:tcPr>
          <w:p>
            <w:pPr>
              <w:autoSpaceDE w:val="0"/>
              <w:autoSpaceDN w:val="0"/>
              <w:adjustRightInd w:val="0"/>
              <w:spacing w:line="360" w:lineRule="auto"/>
              <w:jc w:val="center"/>
              <w:rPr>
                <w:rFonts w:hint="eastAsia" w:ascii="仿宋" w:eastAsia="仿宋" w:cs="仿宋"/>
                <w:sz w:val="24"/>
                <w:lang w:val="zh-CN"/>
              </w:rPr>
            </w:pPr>
          </w:p>
          <w:p>
            <w:pPr>
              <w:autoSpaceDE w:val="0"/>
              <w:autoSpaceDN w:val="0"/>
              <w:adjustRightInd w:val="0"/>
              <w:spacing w:line="360" w:lineRule="auto"/>
              <w:jc w:val="center"/>
              <w:rPr>
                <w:rFonts w:eastAsia="仿宋"/>
                <w:sz w:val="24"/>
              </w:rPr>
            </w:pPr>
            <w:r>
              <w:rPr>
                <w:rFonts w:hint="eastAsia" w:ascii="仿宋" w:eastAsia="仿宋" w:cs="仿宋"/>
                <w:sz w:val="24"/>
                <w:lang w:val="zh-CN"/>
              </w:rPr>
              <w:t>备注</w:t>
            </w:r>
          </w:p>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9" w:hRule="exact"/>
        </w:trPr>
        <w:tc>
          <w:tcPr>
            <w:tcW w:w="724"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338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环境影响评价报告表编制</w:t>
            </w:r>
            <w:r>
              <w:rPr>
                <w:rFonts w:hint="eastAsia" w:eastAsia="仿宋"/>
                <w:sz w:val="24"/>
                <w:lang w:eastAsia="zh-CN"/>
              </w:rPr>
              <w:t>（</w:t>
            </w:r>
            <w:r>
              <w:rPr>
                <w:rFonts w:hint="eastAsia" w:eastAsia="仿宋"/>
                <w:sz w:val="24"/>
                <w:lang w:val="en-US" w:eastAsia="zh-CN"/>
              </w:rPr>
              <w:t>含噪声专项</w:t>
            </w:r>
            <w:r>
              <w:rPr>
                <w:rFonts w:hint="eastAsia" w:eastAsia="仿宋"/>
                <w:sz w:val="24"/>
                <w:lang w:eastAsia="zh-CN"/>
              </w:rPr>
              <w:t>）</w:t>
            </w:r>
          </w:p>
        </w:tc>
        <w:tc>
          <w:tcPr>
            <w:tcW w:w="3849" w:type="dxa"/>
            <w:vAlign w:val="center"/>
          </w:tcPr>
          <w:p>
            <w:pPr>
              <w:autoSpaceDE w:val="0"/>
              <w:autoSpaceDN w:val="0"/>
              <w:adjustRightInd w:val="0"/>
              <w:spacing w:line="360" w:lineRule="auto"/>
              <w:jc w:val="center"/>
              <w:rPr>
                <w:rFonts w:eastAsia="仿宋"/>
                <w:sz w:val="24"/>
              </w:rPr>
            </w:pPr>
          </w:p>
        </w:tc>
        <w:tc>
          <w:tcPr>
            <w:tcW w:w="1499"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6" w:hRule="exact"/>
        </w:trPr>
        <w:tc>
          <w:tcPr>
            <w:tcW w:w="724"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2</w:t>
            </w:r>
          </w:p>
        </w:tc>
        <w:tc>
          <w:tcPr>
            <w:tcW w:w="338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竣工环境保护验收报告表编制</w:t>
            </w:r>
            <w:r>
              <w:rPr>
                <w:rFonts w:hint="eastAsia" w:eastAsia="仿宋"/>
                <w:sz w:val="24"/>
                <w:lang w:eastAsia="zh-CN"/>
              </w:rPr>
              <w:t>（</w:t>
            </w:r>
            <w:r>
              <w:rPr>
                <w:rFonts w:hint="eastAsia" w:eastAsia="仿宋"/>
                <w:sz w:val="24"/>
                <w:lang w:val="en-US" w:eastAsia="zh-CN"/>
              </w:rPr>
              <w:t>含噪声专项</w:t>
            </w:r>
            <w:r>
              <w:rPr>
                <w:rFonts w:hint="eastAsia" w:eastAsia="仿宋"/>
                <w:sz w:val="24"/>
                <w:lang w:eastAsia="zh-CN"/>
              </w:rPr>
              <w:t>）</w:t>
            </w:r>
          </w:p>
        </w:tc>
        <w:tc>
          <w:tcPr>
            <w:tcW w:w="3849" w:type="dxa"/>
            <w:vAlign w:val="center"/>
          </w:tcPr>
          <w:p>
            <w:pPr>
              <w:autoSpaceDE w:val="0"/>
              <w:autoSpaceDN w:val="0"/>
              <w:adjustRightInd w:val="0"/>
              <w:spacing w:line="360" w:lineRule="auto"/>
              <w:jc w:val="center"/>
              <w:rPr>
                <w:rFonts w:eastAsia="仿宋"/>
                <w:sz w:val="24"/>
              </w:rPr>
            </w:pPr>
          </w:p>
        </w:tc>
        <w:tc>
          <w:tcPr>
            <w:tcW w:w="1499"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exact"/>
        </w:trPr>
        <w:tc>
          <w:tcPr>
            <w:tcW w:w="4099" w:type="dxa"/>
            <w:gridSpan w:val="2"/>
            <w:vMerge w:val="restart"/>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合计</w:t>
            </w:r>
          </w:p>
        </w:tc>
        <w:tc>
          <w:tcPr>
            <w:tcW w:w="5353" w:type="dxa"/>
            <w:gridSpan w:val="3"/>
            <w:vAlign w:val="center"/>
          </w:tcPr>
          <w:p>
            <w:pPr>
              <w:autoSpaceDE w:val="0"/>
              <w:autoSpaceDN w:val="0"/>
              <w:adjustRightInd w:val="0"/>
              <w:spacing w:line="360" w:lineRule="auto"/>
              <w:ind w:right="480"/>
              <w:rPr>
                <w:rFonts w:eastAsia="仿宋"/>
                <w:sz w:val="24"/>
              </w:rPr>
            </w:pPr>
            <w:r>
              <w:rPr>
                <w:rFonts w:hint="eastAsia" w:ascii="仿宋" w:eastAsia="仿宋" w:cs="仿宋"/>
                <w:sz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exact"/>
        </w:trPr>
        <w:tc>
          <w:tcPr>
            <w:tcW w:w="4099" w:type="dxa"/>
            <w:gridSpan w:val="2"/>
            <w:vMerge w:val="continue"/>
            <w:vAlign w:val="center"/>
          </w:tcPr>
          <w:p>
            <w:pPr>
              <w:autoSpaceDE w:val="0"/>
              <w:autoSpaceDN w:val="0"/>
              <w:adjustRightInd w:val="0"/>
              <w:spacing w:line="360" w:lineRule="auto"/>
              <w:jc w:val="center"/>
              <w:rPr>
                <w:rFonts w:ascii="仿宋" w:eastAsia="仿宋" w:cs="仿宋"/>
                <w:sz w:val="24"/>
                <w:lang w:val="zh-CN"/>
              </w:rPr>
            </w:pPr>
          </w:p>
        </w:tc>
        <w:tc>
          <w:tcPr>
            <w:tcW w:w="5353" w:type="dxa"/>
            <w:gridSpan w:val="3"/>
            <w:vAlign w:val="center"/>
          </w:tcPr>
          <w:p>
            <w:pPr>
              <w:autoSpaceDE w:val="0"/>
              <w:autoSpaceDN w:val="0"/>
              <w:adjustRightInd w:val="0"/>
              <w:spacing w:line="360" w:lineRule="auto"/>
              <w:ind w:right="480"/>
              <w:rPr>
                <w:rFonts w:ascii="仿宋" w:eastAsia="仿宋" w:cs="仿宋"/>
                <w:sz w:val="24"/>
                <w:lang w:val="zh-CN"/>
              </w:rPr>
            </w:pPr>
            <w:r>
              <w:rPr>
                <w:rFonts w:hint="eastAsia" w:ascii="仿宋" w:eastAsia="仿宋" w:cs="仿宋"/>
                <w:sz w:val="24"/>
                <w:lang w:val="zh-CN"/>
              </w:rPr>
              <w:t>小写：</w:t>
            </w: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0"/>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5W4XRAAAAAwEAAA8AAAAAAAAA&#10;AQAgAAAAIgAAAGRycy9kb3ducmV2LnhtbFBLAQIUABQAAAAIAIdO4kDan7UF3wEAALMDAAAOAAAA&#10;AAAAAAEAIAAAACABAABkcnMvZTJvRG9jLnhtbFBLBQYAAAAABgAGAFkBAABx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3698A"/>
    <w:rsid w:val="002A0A1C"/>
    <w:rsid w:val="002A70C4"/>
    <w:rsid w:val="002C71E2"/>
    <w:rsid w:val="00326531"/>
    <w:rsid w:val="003B4983"/>
    <w:rsid w:val="003F1BC3"/>
    <w:rsid w:val="004435CC"/>
    <w:rsid w:val="00474130"/>
    <w:rsid w:val="004E4B2B"/>
    <w:rsid w:val="00536018"/>
    <w:rsid w:val="0054681F"/>
    <w:rsid w:val="00547E9F"/>
    <w:rsid w:val="00566030"/>
    <w:rsid w:val="005C6DC8"/>
    <w:rsid w:val="0069274E"/>
    <w:rsid w:val="006C55AC"/>
    <w:rsid w:val="00730153"/>
    <w:rsid w:val="007B7BBF"/>
    <w:rsid w:val="008150C9"/>
    <w:rsid w:val="00850521"/>
    <w:rsid w:val="00854C04"/>
    <w:rsid w:val="008745C9"/>
    <w:rsid w:val="008B1554"/>
    <w:rsid w:val="008C65D2"/>
    <w:rsid w:val="00902B6A"/>
    <w:rsid w:val="009068B7"/>
    <w:rsid w:val="00924BC5"/>
    <w:rsid w:val="00991005"/>
    <w:rsid w:val="00996968"/>
    <w:rsid w:val="00A23005"/>
    <w:rsid w:val="00A84DA1"/>
    <w:rsid w:val="00AA39A5"/>
    <w:rsid w:val="00AD2F13"/>
    <w:rsid w:val="00AE4481"/>
    <w:rsid w:val="00BD48C2"/>
    <w:rsid w:val="00C435AD"/>
    <w:rsid w:val="00C6294B"/>
    <w:rsid w:val="00D14258"/>
    <w:rsid w:val="00D40D26"/>
    <w:rsid w:val="00DA4C85"/>
    <w:rsid w:val="00E24DD2"/>
    <w:rsid w:val="00E72466"/>
    <w:rsid w:val="00E83238"/>
    <w:rsid w:val="00EB03AE"/>
    <w:rsid w:val="00EE1DD3"/>
    <w:rsid w:val="00F812DD"/>
    <w:rsid w:val="00F83D6D"/>
    <w:rsid w:val="00FE2FC0"/>
    <w:rsid w:val="023340C8"/>
    <w:rsid w:val="03923DE0"/>
    <w:rsid w:val="042E1BBE"/>
    <w:rsid w:val="05B9052D"/>
    <w:rsid w:val="09023CF6"/>
    <w:rsid w:val="0A656466"/>
    <w:rsid w:val="0D8713ED"/>
    <w:rsid w:val="0DBC0BBA"/>
    <w:rsid w:val="0E76520D"/>
    <w:rsid w:val="11230F50"/>
    <w:rsid w:val="116D239E"/>
    <w:rsid w:val="13E76BAD"/>
    <w:rsid w:val="14E46C49"/>
    <w:rsid w:val="161D3B2C"/>
    <w:rsid w:val="1A4C59BC"/>
    <w:rsid w:val="1A675EDD"/>
    <w:rsid w:val="1E2545F4"/>
    <w:rsid w:val="24D97E4C"/>
    <w:rsid w:val="27552874"/>
    <w:rsid w:val="2EDD2190"/>
    <w:rsid w:val="2F6D7037"/>
    <w:rsid w:val="31DA61BF"/>
    <w:rsid w:val="324F79A0"/>
    <w:rsid w:val="362A0508"/>
    <w:rsid w:val="371E780B"/>
    <w:rsid w:val="372E04CB"/>
    <w:rsid w:val="3795122B"/>
    <w:rsid w:val="390F70E1"/>
    <w:rsid w:val="39E92488"/>
    <w:rsid w:val="40EE65D6"/>
    <w:rsid w:val="41F8770C"/>
    <w:rsid w:val="420B6500"/>
    <w:rsid w:val="455F7AA2"/>
    <w:rsid w:val="45E16709"/>
    <w:rsid w:val="48A47285"/>
    <w:rsid w:val="507F3EA0"/>
    <w:rsid w:val="50B769E4"/>
    <w:rsid w:val="52DE290D"/>
    <w:rsid w:val="58E85E2F"/>
    <w:rsid w:val="5B290B78"/>
    <w:rsid w:val="5E5D0BCB"/>
    <w:rsid w:val="60D5619C"/>
    <w:rsid w:val="61933475"/>
    <w:rsid w:val="649F0824"/>
    <w:rsid w:val="66533C9C"/>
    <w:rsid w:val="68925915"/>
    <w:rsid w:val="694B3E8B"/>
    <w:rsid w:val="6C4038DA"/>
    <w:rsid w:val="7B851309"/>
    <w:rsid w:val="7D50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tLeast"/>
      <w:outlineLvl w:val="2"/>
    </w:pPr>
    <w:rPr>
      <w:b/>
      <w:bCs/>
      <w:szCs w:val="32"/>
    </w:rPr>
  </w:style>
  <w:style w:type="paragraph" w:styleId="3">
    <w:name w:val="heading 4"/>
    <w:basedOn w:val="1"/>
    <w:next w:val="1"/>
    <w:link w:val="13"/>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2"/>
    <w:basedOn w:val="1"/>
    <w:link w:val="14"/>
    <w:qFormat/>
    <w:uiPriority w:val="0"/>
    <w:pPr>
      <w:spacing w:after="120" w:line="480" w:lineRule="auto"/>
      <w:ind w:left="420" w:leftChars="200"/>
    </w:pPr>
  </w:style>
  <w:style w:type="paragraph" w:styleId="6">
    <w:name w:val="Balloon Text"/>
    <w:basedOn w:val="1"/>
    <w:link w:val="16"/>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9"/>
    <w:link w:val="8"/>
    <w:qFormat/>
    <w:uiPriority w:val="99"/>
    <w:rPr>
      <w:sz w:val="18"/>
      <w:szCs w:val="18"/>
    </w:rPr>
  </w:style>
  <w:style w:type="character" w:customStyle="1" w:styleId="12">
    <w:name w:val="页脚 Char"/>
    <w:basedOn w:val="9"/>
    <w:link w:val="7"/>
    <w:qFormat/>
    <w:uiPriority w:val="99"/>
    <w:rPr>
      <w:sz w:val="18"/>
      <w:szCs w:val="18"/>
    </w:rPr>
  </w:style>
  <w:style w:type="character" w:customStyle="1" w:styleId="13">
    <w:name w:val="标题 4 Char"/>
    <w:basedOn w:val="9"/>
    <w:link w:val="3"/>
    <w:qFormat/>
    <w:uiPriority w:val="9"/>
    <w:rPr>
      <w:rFonts w:ascii="Cambria" w:hAnsi="Cambria"/>
      <w:b/>
      <w:kern w:val="0"/>
      <w:sz w:val="28"/>
      <w:szCs w:val="20"/>
    </w:rPr>
  </w:style>
  <w:style w:type="character" w:customStyle="1" w:styleId="14">
    <w:name w:val="正文文本缩进 2 Char"/>
    <w:basedOn w:val="9"/>
    <w:link w:val="5"/>
    <w:qFormat/>
    <w:uiPriority w:val="0"/>
  </w:style>
  <w:style w:type="paragraph" w:customStyle="1" w:styleId="15">
    <w:name w:val="表格"/>
    <w:basedOn w:val="1"/>
    <w:qFormat/>
    <w:uiPriority w:val="0"/>
    <w:pPr>
      <w:jc w:val="center"/>
    </w:pPr>
    <w:rPr>
      <w:rFonts w:ascii="仿宋" w:hAnsi="仿宋" w:eastAsia="仿宋"/>
      <w:szCs w:val="21"/>
    </w:rPr>
  </w:style>
  <w:style w:type="character" w:customStyle="1" w:styleId="16">
    <w:name w:val="批注框文本 Char"/>
    <w:basedOn w:val="9"/>
    <w:link w:val="6"/>
    <w:semiHidden/>
    <w:qFormat/>
    <w:uiPriority w:val="99"/>
    <w:rPr>
      <w:kern w:val="2"/>
      <w:sz w:val="18"/>
      <w:szCs w:val="18"/>
    </w:rPr>
  </w:style>
  <w:style w:type="character" w:customStyle="1" w:styleId="17">
    <w:name w:val="font71"/>
    <w:basedOn w:val="9"/>
    <w:qFormat/>
    <w:uiPriority w:val="0"/>
    <w:rPr>
      <w:rFonts w:hint="eastAsia" w:ascii="宋体" w:hAnsi="宋体" w:eastAsia="宋体" w:cs="宋体"/>
      <w:b/>
      <w:bCs/>
      <w:color w:val="000000"/>
      <w:sz w:val="22"/>
      <w:szCs w:val="22"/>
      <w:u w:val="none"/>
    </w:rPr>
  </w:style>
  <w:style w:type="character" w:customStyle="1" w:styleId="18">
    <w:name w:val="font31"/>
    <w:basedOn w:val="9"/>
    <w:qFormat/>
    <w:uiPriority w:val="0"/>
    <w:rPr>
      <w:rFonts w:hint="eastAsia" w:ascii="微软雅黑" w:hAnsi="微软雅黑" w:eastAsia="微软雅黑" w:cs="微软雅黑"/>
      <w:color w:val="000000"/>
      <w:sz w:val="20"/>
      <w:szCs w:val="20"/>
      <w:u w:val="none"/>
    </w:rPr>
  </w:style>
  <w:style w:type="character" w:customStyle="1" w:styleId="19">
    <w:name w:val="font81"/>
    <w:basedOn w:val="9"/>
    <w:qFormat/>
    <w:uiPriority w:val="0"/>
    <w:rPr>
      <w:rFonts w:hint="eastAsia" w:ascii="宋体" w:hAnsi="宋体" w:eastAsia="宋体" w:cs="宋体"/>
      <w:color w:val="000000"/>
      <w:sz w:val="20"/>
      <w:szCs w:val="20"/>
      <w:u w:val="none"/>
    </w:rPr>
  </w:style>
  <w:style w:type="character" w:customStyle="1" w:styleId="20">
    <w:name w:val="font61"/>
    <w:basedOn w:val="9"/>
    <w:qFormat/>
    <w:uiPriority w:val="0"/>
    <w:rPr>
      <w:rFonts w:hint="eastAsia" w:ascii="宋体" w:hAnsi="宋体" w:eastAsia="宋体" w:cs="宋体"/>
      <w:b/>
      <w:bCs/>
      <w:color w:val="000000"/>
      <w:sz w:val="24"/>
      <w:szCs w:val="24"/>
      <w:u w:val="none"/>
    </w:rPr>
  </w:style>
  <w:style w:type="character" w:customStyle="1" w:styleId="21">
    <w:name w:val="font01"/>
    <w:basedOn w:val="9"/>
    <w:qFormat/>
    <w:uiPriority w:val="0"/>
    <w:rPr>
      <w:rFonts w:hint="eastAsia" w:ascii="宋体" w:hAnsi="宋体" w:eastAsia="宋体" w:cs="宋体"/>
      <w:color w:val="000000"/>
      <w:sz w:val="24"/>
      <w:szCs w:val="24"/>
      <w:u w:val="none"/>
    </w:rPr>
  </w:style>
  <w:style w:type="character" w:customStyle="1" w:styleId="22">
    <w:name w:val="font11"/>
    <w:basedOn w:val="9"/>
    <w:qFormat/>
    <w:uiPriority w:val="0"/>
    <w:rPr>
      <w:rFonts w:hint="eastAsia" w:ascii="宋体" w:hAnsi="宋体" w:eastAsia="宋体" w:cs="宋体"/>
      <w:b/>
      <w:bCs/>
      <w:color w:val="000000"/>
      <w:sz w:val="24"/>
      <w:szCs w:val="24"/>
      <w:u w:val="none"/>
    </w:rPr>
  </w:style>
  <w:style w:type="character" w:customStyle="1" w:styleId="23">
    <w:name w:val="font21"/>
    <w:basedOn w:val="9"/>
    <w:qFormat/>
    <w:uiPriority w:val="0"/>
    <w:rPr>
      <w:rFonts w:ascii="微软雅黑" w:hAnsi="微软雅黑" w:eastAsia="微软雅黑" w:cs="微软雅黑"/>
      <w:color w:val="000000"/>
      <w:sz w:val="20"/>
      <w:szCs w:val="20"/>
      <w:u w:val="none"/>
    </w:rPr>
  </w:style>
  <w:style w:type="paragraph" w:customStyle="1" w:styleId="24">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906</Words>
  <Characters>5166</Characters>
  <Lines>43</Lines>
  <Paragraphs>12</Paragraphs>
  <TotalTime>1</TotalTime>
  <ScaleCrop>false</ScaleCrop>
  <LinksUpToDate>false</LinksUpToDate>
  <CharactersWithSpaces>6060</CharactersWithSpaces>
  <Application>WPS Office_11.8.2.7978_F1E327BC-269C-435d-A152-05C5408002CA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祁玉峰</cp:lastModifiedBy>
  <dcterms:modified xsi:type="dcterms:W3CDTF">2024-02-21T01:15:12Z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34477083A01548F8AE0B936620733225_13</vt:lpwstr>
  </property>
</Properties>
</file>