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_GBK" w:eastAsia="方正小标宋_GBK"/>
          <w:sz w:val="44"/>
          <w:szCs w:val="44"/>
        </w:rPr>
      </w:pPr>
      <w:r>
        <w:rPr>
          <w:rFonts w:hint="eastAsia" w:ascii="方正小标宋_GBK" w:hAnsi="仿宋" w:eastAsia="方正小标宋_GBK" w:cs="仿宋"/>
          <w:sz w:val="44"/>
          <w:szCs w:val="44"/>
        </w:rPr>
        <w:t>跨海大桥高架路二期剩余匝道涉路</w:t>
      </w:r>
      <w:r>
        <w:rPr>
          <w:rFonts w:hint="eastAsia" w:ascii="方正小标宋_GBK" w:hAnsi="仿宋" w:eastAsia="方正小标宋_GBK" w:cs="仿宋"/>
          <w:sz w:val="44"/>
          <w:szCs w:val="44"/>
          <w:lang w:val="en-US" w:eastAsia="zh-CN"/>
        </w:rPr>
        <w:t>工程</w:t>
      </w:r>
      <w:r>
        <w:rPr>
          <w:rFonts w:hint="eastAsia" w:ascii="方正小标宋_GBK" w:hAnsi="仿宋" w:eastAsia="方正小标宋_GBK" w:cs="仿宋"/>
          <w:sz w:val="44"/>
          <w:szCs w:val="44"/>
        </w:rPr>
        <w:t>技术评价询价</w:t>
      </w:r>
      <w:r>
        <w:rPr>
          <w:rFonts w:hint="eastAsia" w:ascii="方正小标宋_GBK" w:eastAsia="方正小标宋_GBK"/>
          <w:sz w:val="44"/>
          <w:szCs w:val="44"/>
        </w:rPr>
        <w:t>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1.采购单位：青岛城投路桥投资发展有限公司</w:t>
      </w: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2.服务名称：跨海大桥高架路二期-青银高速立交剩余匝道及地面道路工程涉路</w:t>
      </w:r>
      <w:r>
        <w:rPr>
          <w:rFonts w:hint="eastAsia" w:ascii="仿宋_GB2312" w:hAnsi="仿宋_GB2312" w:eastAsia="仿宋_GB2312" w:cs="仿宋_GB2312"/>
          <w:kern w:val="0"/>
          <w:sz w:val="32"/>
          <w:szCs w:val="32"/>
          <w:lang w:val="en-US" w:eastAsia="zh-CN"/>
        </w:rPr>
        <w:t>工程</w:t>
      </w:r>
      <w:r>
        <w:rPr>
          <w:rFonts w:hint="eastAsia" w:ascii="仿宋_GB2312" w:hAnsi="仿宋_GB2312" w:eastAsia="仿宋_GB2312" w:cs="仿宋_GB2312"/>
          <w:kern w:val="0"/>
          <w:sz w:val="32"/>
          <w:szCs w:val="32"/>
        </w:rPr>
        <w:t>技术评价</w:t>
      </w:r>
    </w:p>
    <w:p>
      <w:pPr>
        <w:spacing w:line="560" w:lineRule="exact"/>
        <w:ind w:firstLine="640" w:firstLineChars="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工程概况：</w:t>
      </w:r>
      <w:r>
        <w:rPr>
          <w:rFonts w:hint="eastAsia" w:ascii="仿宋_GB2312" w:hAnsi="仿宋_GB2312" w:eastAsia="仿宋_GB2312" w:cs="仿宋_GB2312"/>
          <w:sz w:val="32"/>
          <w:szCs w:val="32"/>
        </w:rPr>
        <w:t>工程包含跨海大桥高架路二期-青银高速立交剩余5条匝道（南向西定向匝道、南向东定向匝道、北向东环形匝道、北向西接地匝道、东向北定向匝道）、青银高速东半幅辅助车道以及立交区规划滁州路地面道路。匝道总长2185米，辅助车道长765米，地面道路长230米，以及青银高速东收费站改造工程等。主要建设内容包括道路、桥梁、管线、环境整治、交通设施、收费站改造等工程</w:t>
      </w:r>
      <w:r>
        <w:rPr>
          <w:rFonts w:hint="eastAsia" w:ascii="仿宋_GB2312" w:hAnsi="仿宋_GB2312" w:eastAsia="仿宋_GB2312" w:cs="仿宋_GB2312"/>
          <w:kern w:val="0"/>
          <w:sz w:val="32"/>
          <w:szCs w:val="32"/>
          <w:lang w:val="zh-CN"/>
        </w:rPr>
        <w:t>。</w:t>
      </w: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服务内容：</w:t>
      </w:r>
      <w:r>
        <w:rPr>
          <w:rFonts w:hint="eastAsia" w:ascii="仿宋_GB2312" w:hAnsi="仿宋_GB2312" w:eastAsia="仿宋_GB2312" w:cs="仿宋_GB2312"/>
          <w:sz w:val="32"/>
          <w:szCs w:val="32"/>
          <w:highlight w:val="none"/>
          <w:lang w:val="en-US" w:eastAsia="zh-CN"/>
        </w:rPr>
        <w:t>按照《山东省重大涉路工程建设行政许可实施办法》（鲁交发〔2020〕9号）要求，</w:t>
      </w:r>
      <w:r>
        <w:rPr>
          <w:rFonts w:hint="eastAsia" w:ascii="仿宋_GB2312" w:hAnsi="仿宋_GB2312" w:eastAsia="仿宋_GB2312" w:cs="仿宋_GB2312"/>
          <w:kern w:val="0"/>
          <w:sz w:val="32"/>
          <w:szCs w:val="32"/>
          <w:highlight w:val="none"/>
        </w:rPr>
        <w:t>跨海大桥高架路二期-青银高速立交剩余匝道及地面道路工程</w:t>
      </w:r>
      <w:r>
        <w:rPr>
          <w:rFonts w:hint="eastAsia" w:ascii="仿宋_GB2312" w:hAnsi="仿宋_GB2312" w:eastAsia="仿宋_GB2312" w:cs="仿宋_GB2312"/>
          <w:sz w:val="32"/>
          <w:szCs w:val="32"/>
          <w:highlight w:val="none"/>
          <w:lang w:val="en-US" w:eastAsia="zh-CN"/>
        </w:rPr>
        <w:t>6处涉高速公路节点，需要委托技术评价单位对涉路工程设计方案技术评价，并编制涉路工程技术评价报告，报告作为重大涉路工程施工图设计报送交通运输事业服务机构评审要件，需满足交通运输主管部门批复重大涉路工程施工图设计方案要求。</w:t>
      </w:r>
    </w:p>
    <w:p>
      <w:pPr>
        <w:widowControl/>
        <w:spacing w:line="54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5.服务地点：</w:t>
      </w:r>
      <w:r>
        <w:rPr>
          <w:rFonts w:hint="eastAsia" w:ascii="仿宋_GB2312" w:hAnsi="仿宋_GB2312" w:eastAsia="仿宋_GB2312" w:cs="仿宋_GB2312"/>
          <w:kern w:val="0"/>
          <w:sz w:val="32"/>
          <w:szCs w:val="32"/>
        </w:rPr>
        <w:t>崂山区</w:t>
      </w:r>
    </w:p>
    <w:p>
      <w:pPr>
        <w:widowControl/>
        <w:spacing w:line="540" w:lineRule="exact"/>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6.采购预算：</w:t>
      </w:r>
      <w:r>
        <w:rPr>
          <w:rFonts w:hint="eastAsia" w:ascii="仿宋_GB2312" w:hAnsi="仿宋_GB2312" w:eastAsia="仿宋_GB2312" w:cs="仿宋_GB2312"/>
          <w:kern w:val="0"/>
          <w:sz w:val="32"/>
          <w:szCs w:val="32"/>
          <w:lang w:val="en-US" w:eastAsia="zh-CN"/>
        </w:rPr>
        <w:t>40</w:t>
      </w:r>
      <w:r>
        <w:rPr>
          <w:rFonts w:hint="eastAsia" w:ascii="仿宋_GB2312" w:hAnsi="仿宋_GB2312" w:eastAsia="仿宋_GB2312" w:cs="仿宋_GB2312"/>
          <w:kern w:val="0"/>
          <w:sz w:val="32"/>
          <w:szCs w:val="32"/>
          <w:lang w:val="zh-CN"/>
        </w:rPr>
        <w:t>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1.在中华人民共和国境内注册，</w:t>
      </w:r>
      <w:r>
        <w:rPr>
          <w:rFonts w:hint="eastAsia" w:ascii="仿宋_GB2312" w:hAnsi="仿宋_GB2312" w:eastAsia="仿宋_GB2312" w:cs="仿宋_GB2312"/>
          <w:sz w:val="32"/>
          <w:szCs w:val="32"/>
          <w:highlight w:val="none"/>
          <w:lang w:val="zh-CN"/>
        </w:rPr>
        <w:t>具有独立法人资格</w:t>
      </w:r>
      <w:r>
        <w:rPr>
          <w:rFonts w:hint="eastAsia" w:ascii="仿宋_GB2312" w:hAnsi="仿宋_GB2312" w:eastAsia="仿宋_GB2312" w:cs="仿宋_GB2312"/>
          <w:sz w:val="32"/>
          <w:szCs w:val="32"/>
          <w:highlight w:val="none"/>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2.须</w:t>
      </w:r>
      <w:r>
        <w:rPr>
          <w:rFonts w:hint="eastAsia" w:ascii="仿宋_GB2312" w:hAnsi="仿宋_GB2312" w:eastAsia="仿宋_GB2312" w:cs="仿宋_GB2312"/>
          <w:sz w:val="32"/>
          <w:szCs w:val="32"/>
          <w:highlight w:val="none"/>
        </w:rPr>
        <w:t>具备工程咨询单位</w:t>
      </w:r>
      <w:r>
        <w:rPr>
          <w:rFonts w:hint="eastAsia" w:ascii="仿宋_GB2312" w:hAnsi="仿宋_GB2312" w:eastAsia="仿宋_GB2312" w:cs="仿宋_GB2312"/>
          <w:sz w:val="32"/>
          <w:szCs w:val="32"/>
          <w:highlight w:val="none"/>
          <w:lang w:eastAsia="zh-CN"/>
        </w:rPr>
        <w:t>甲级</w:t>
      </w:r>
      <w:r>
        <w:rPr>
          <w:rFonts w:hint="eastAsia" w:ascii="仿宋_GB2312" w:hAnsi="仿宋_GB2312" w:eastAsia="仿宋_GB2312" w:cs="仿宋_GB2312"/>
          <w:sz w:val="32"/>
          <w:szCs w:val="32"/>
          <w:highlight w:val="none"/>
        </w:rPr>
        <w:t>资信证书，证书业务中应包含公路专业</w:t>
      </w:r>
      <w:r>
        <w:rPr>
          <w:rFonts w:hint="eastAsia" w:ascii="仿宋_GB2312" w:hAnsi="仿宋_GB2312" w:eastAsia="仿宋_GB2312" w:cs="仿宋_GB2312"/>
          <w:sz w:val="32"/>
          <w:szCs w:val="32"/>
          <w:highlight w:val="none"/>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eastAsia="仿宋_GB2312"/>
          <w:sz w:val="32"/>
          <w:szCs w:val="32"/>
        </w:rPr>
        <w:t>3.近三年（2021年1月1日至今）承接</w:t>
      </w:r>
      <w:r>
        <w:rPr>
          <w:rFonts w:hint="eastAsia" w:ascii="仿宋_GB2312" w:eastAsia="仿宋_GB2312"/>
          <w:sz w:val="32"/>
          <w:szCs w:val="32"/>
          <w:lang w:eastAsia="zh-CN"/>
        </w:rPr>
        <w:t>过单项合</w:t>
      </w:r>
      <w:r>
        <w:rPr>
          <w:rFonts w:hint="eastAsia" w:ascii="仿宋_GB2312" w:eastAsia="仿宋_GB2312"/>
          <w:color w:val="auto"/>
          <w:sz w:val="32"/>
          <w:szCs w:val="32"/>
          <w:highlight w:val="none"/>
          <w:lang w:eastAsia="zh-CN"/>
        </w:rPr>
        <w:t>同</w:t>
      </w:r>
      <w:r>
        <w:rPr>
          <w:rFonts w:hint="eastAsia" w:ascii="仿宋_GB2312" w:eastAsia="仿宋_GB2312"/>
          <w:color w:val="auto"/>
          <w:sz w:val="32"/>
          <w:szCs w:val="32"/>
          <w:highlight w:val="none"/>
          <w:lang w:val="en-US" w:eastAsia="zh-CN"/>
        </w:rPr>
        <w:t>40万元及</w:t>
      </w:r>
      <w:r>
        <w:rPr>
          <w:rFonts w:hint="eastAsia" w:ascii="仿宋_GB2312" w:eastAsia="仿宋_GB2312"/>
          <w:sz w:val="32"/>
          <w:szCs w:val="32"/>
          <w:lang w:val="en-US" w:eastAsia="zh-CN"/>
        </w:rPr>
        <w:t>以上的</w:t>
      </w:r>
      <w:r>
        <w:rPr>
          <w:rFonts w:hint="eastAsia" w:ascii="仿宋_GB2312" w:hAnsi="仿宋_GB2312" w:eastAsia="仿宋_GB2312" w:cs="仿宋_GB2312"/>
          <w:kern w:val="0"/>
          <w:sz w:val="32"/>
          <w:szCs w:val="32"/>
        </w:rPr>
        <w:t>涉路</w:t>
      </w:r>
      <w:r>
        <w:rPr>
          <w:rFonts w:hint="eastAsia" w:ascii="仿宋_GB2312" w:hAnsi="仿宋_GB2312" w:eastAsia="仿宋_GB2312" w:cs="仿宋_GB2312"/>
          <w:kern w:val="0"/>
          <w:sz w:val="32"/>
          <w:szCs w:val="32"/>
          <w:lang w:val="en-US" w:eastAsia="zh-CN"/>
        </w:rPr>
        <w:t>工程</w:t>
      </w:r>
      <w:r>
        <w:rPr>
          <w:rFonts w:hint="eastAsia" w:ascii="仿宋_GB2312" w:hAnsi="仿宋_GB2312" w:eastAsia="仿宋_GB2312" w:cs="仿宋_GB2312"/>
          <w:kern w:val="0"/>
          <w:sz w:val="32"/>
          <w:szCs w:val="32"/>
        </w:rPr>
        <w:t>技术评价</w:t>
      </w:r>
      <w:r>
        <w:rPr>
          <w:rFonts w:hint="eastAsia" w:ascii="仿宋_GB2312" w:eastAsia="仿宋_GB2312"/>
          <w:sz w:val="32"/>
          <w:szCs w:val="32"/>
        </w:rPr>
        <w:t>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widowControl/>
        <w:ind w:firstLine="640" w:firstLineChars="20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1</w:t>
      </w:r>
      <w:r>
        <w:rPr>
          <w:rFonts w:hint="eastAsia" w:ascii="仿宋_GB2312" w:hAnsi="宋体" w:eastAsia="仿宋_GB2312" w:cs="宋体"/>
          <w:kern w:val="0"/>
          <w:sz w:val="32"/>
          <w:szCs w:val="32"/>
          <w:lang w:val="zh-CN" w:eastAsia="zh-CN"/>
        </w:rPr>
        <w:t>.</w:t>
      </w:r>
      <w:r>
        <w:rPr>
          <w:rFonts w:hint="eastAsia" w:ascii="仿宋_GB2312" w:hAnsi="宋体" w:eastAsia="仿宋_GB2312" w:cs="宋体"/>
          <w:kern w:val="0"/>
          <w:sz w:val="32"/>
          <w:szCs w:val="32"/>
          <w:lang w:val="zh-CN"/>
        </w:rPr>
        <w:t>服务范围</w:t>
      </w:r>
    </w:p>
    <w:p>
      <w:pPr>
        <w:spacing w:line="560" w:lineRule="exact"/>
        <w:ind w:firstLine="600"/>
        <w:rPr>
          <w:rFonts w:hint="eastAsia" w:ascii="仿宋_GB2312" w:hAnsi="仿宋_GB2312" w:eastAsia="仿宋_GB2312" w:cs="仿宋_GB2312"/>
          <w:sz w:val="32"/>
          <w:szCs w:val="32"/>
          <w:highlight w:val="none"/>
          <w:lang w:val="en-US" w:eastAsia="zh-CN"/>
        </w:rPr>
      </w:pPr>
      <w:r>
        <w:rPr>
          <w:rFonts w:hint="eastAsia" w:ascii="仿宋_GB2312" w:hAnsi="宋体" w:eastAsia="仿宋_GB2312" w:cs="宋体"/>
          <w:kern w:val="0"/>
          <w:sz w:val="32"/>
          <w:szCs w:val="32"/>
          <w:highlight w:val="none"/>
          <w:lang w:eastAsia="zh-CN"/>
        </w:rPr>
        <w:t>对</w:t>
      </w:r>
      <w:r>
        <w:rPr>
          <w:rFonts w:hint="eastAsia" w:ascii="仿宋_GB2312" w:hAnsi="宋体" w:eastAsia="仿宋_GB2312" w:cs="宋体"/>
          <w:kern w:val="0"/>
          <w:sz w:val="32"/>
          <w:szCs w:val="32"/>
          <w:highlight w:val="none"/>
        </w:rPr>
        <w:t>跨海大桥高架路二期-青银高速立交剩余匝道及地面道路工程</w:t>
      </w:r>
      <w:r>
        <w:rPr>
          <w:rFonts w:hint="eastAsia" w:ascii="仿宋_GB2312" w:hAnsi="仿宋_GB2312" w:eastAsia="仿宋_GB2312" w:cs="仿宋_GB2312"/>
          <w:sz w:val="32"/>
          <w:szCs w:val="32"/>
          <w:highlight w:val="none"/>
          <w:lang w:val="en-US" w:eastAsia="zh-CN"/>
        </w:rPr>
        <w:t>6处涉高速公路节点进行涉路工程技术评价，具体节点情况如下：</w:t>
      </w:r>
    </w:p>
    <w:tbl>
      <w:tblPr>
        <w:tblStyle w:val="10"/>
        <w:tblW w:w="8700"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85"/>
        <w:gridCol w:w="72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trPr>
        <w:tc>
          <w:tcPr>
            <w:tcW w:w="1485" w:type="dxa"/>
            <w:vAlign w:val="center"/>
          </w:tcPr>
          <w:p>
            <w:pPr>
              <w:pStyle w:val="25"/>
              <w:spacing w:line="560" w:lineRule="exact"/>
              <w:ind w:left="0" w:leftChars="0" w:firstLine="0" w:firstLineChars="0"/>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序号</w:t>
            </w:r>
          </w:p>
        </w:tc>
        <w:tc>
          <w:tcPr>
            <w:tcW w:w="7215" w:type="dxa"/>
            <w:vAlign w:val="center"/>
          </w:tcPr>
          <w:p>
            <w:pPr>
              <w:pStyle w:val="25"/>
              <w:spacing w:line="560" w:lineRule="exact"/>
              <w:ind w:left="0" w:leftChars="0" w:firstLine="0" w:firstLineChars="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各节点情况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485" w:type="dxa"/>
            <w:vAlign w:val="center"/>
          </w:tcPr>
          <w:p>
            <w:pPr>
              <w:pStyle w:val="25"/>
              <w:spacing w:line="560" w:lineRule="exact"/>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CN"/>
              </w:rPr>
              <w:t>1</w:t>
            </w:r>
          </w:p>
        </w:tc>
        <w:tc>
          <w:tcPr>
            <w:tcW w:w="7215" w:type="dxa"/>
            <w:tcBorders>
              <w:left w:val="single" w:color="auto" w:sz="4" w:space="0"/>
            </w:tcBorders>
            <w:vAlign w:val="center"/>
          </w:tcPr>
          <w:p>
            <w:pPr>
              <w:pStyle w:val="25"/>
              <w:spacing w:line="560" w:lineRule="exact"/>
              <w:ind w:left="0" w:leftChars="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SW匝道下穿青银高速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485" w:type="dxa"/>
            <w:vAlign w:val="center"/>
          </w:tcPr>
          <w:p>
            <w:pPr>
              <w:pStyle w:val="25"/>
              <w:spacing w:line="5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w:t>
            </w:r>
          </w:p>
        </w:tc>
        <w:tc>
          <w:tcPr>
            <w:tcW w:w="7215" w:type="dxa"/>
            <w:tcBorders>
              <w:left w:val="single" w:color="auto" w:sz="4" w:space="0"/>
            </w:tcBorders>
            <w:vAlign w:val="center"/>
          </w:tcPr>
          <w:p>
            <w:pPr>
              <w:pStyle w:val="25"/>
              <w:spacing w:line="56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NE匝道并行青银高速，约300m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485" w:type="dxa"/>
            <w:vAlign w:val="center"/>
          </w:tcPr>
          <w:p>
            <w:pPr>
              <w:pStyle w:val="25"/>
              <w:spacing w:line="5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3</w:t>
            </w:r>
          </w:p>
        </w:tc>
        <w:tc>
          <w:tcPr>
            <w:tcW w:w="7215" w:type="dxa"/>
            <w:vAlign w:val="center"/>
          </w:tcPr>
          <w:p>
            <w:pPr>
              <w:pStyle w:val="25"/>
              <w:spacing w:line="56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青银高速拼宽（包含路基拼宽、2处桥梁拼宽、1处涵洞拼宽），约850m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485" w:type="dxa"/>
            <w:vAlign w:val="center"/>
          </w:tcPr>
          <w:p>
            <w:pPr>
              <w:pStyle w:val="25"/>
              <w:spacing w:line="5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7215" w:type="dxa"/>
            <w:vAlign w:val="center"/>
          </w:tcPr>
          <w:p>
            <w:pPr>
              <w:pStyle w:val="25"/>
              <w:spacing w:line="56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青银高速路基改桥，一处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485" w:type="dxa"/>
            <w:vAlign w:val="center"/>
          </w:tcPr>
          <w:p>
            <w:pPr>
              <w:pStyle w:val="25"/>
              <w:spacing w:line="5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7215" w:type="dxa"/>
            <w:vAlign w:val="center"/>
          </w:tcPr>
          <w:p>
            <w:pPr>
              <w:pStyle w:val="25"/>
              <w:spacing w:line="56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调流道路，一处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485" w:type="dxa"/>
            <w:vAlign w:val="center"/>
          </w:tcPr>
          <w:p>
            <w:pPr>
              <w:pStyle w:val="25"/>
              <w:spacing w:line="5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215" w:type="dxa"/>
            <w:vAlign w:val="center"/>
          </w:tcPr>
          <w:p>
            <w:pPr>
              <w:pStyle w:val="25"/>
              <w:spacing w:line="56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新建九根下穿青银高速管线（含中水、热力、中压燃气、两道雨水、通信、两道给水、电力管线）</w:t>
            </w:r>
          </w:p>
        </w:tc>
      </w:tr>
    </w:tbl>
    <w:p>
      <w:pPr>
        <w:widowControl/>
        <w:ind w:firstLine="640" w:firstLineChars="200"/>
        <w:jc w:val="left"/>
        <w:rPr>
          <w:rFonts w:ascii="仿宋" w:hAnsi="仿宋" w:eastAsia="仿宋" w:cs="宋体"/>
          <w:kern w:val="0"/>
          <w:sz w:val="32"/>
          <w:szCs w:val="32"/>
        </w:rPr>
      </w:pPr>
      <w:r>
        <w:rPr>
          <w:rFonts w:hint="eastAsia" w:ascii="仿宋_GB2312" w:hAnsi="宋体" w:eastAsia="仿宋_GB2312" w:cs="宋体"/>
          <w:kern w:val="0"/>
          <w:sz w:val="32"/>
          <w:szCs w:val="32"/>
          <w:lang w:val="zh-CN"/>
        </w:rPr>
        <w:t>2</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lang w:val="zh-CN"/>
        </w:rPr>
        <w:t>服</w:t>
      </w:r>
      <w:r>
        <w:rPr>
          <w:rFonts w:hint="eastAsia" w:ascii="仿宋" w:hAnsi="仿宋" w:eastAsia="仿宋" w:cs="仿宋"/>
          <w:sz w:val="32"/>
          <w:szCs w:val="32"/>
        </w:rPr>
        <w:t>务内容</w:t>
      </w:r>
    </w:p>
    <w:p>
      <w:pPr>
        <w:widowControl/>
        <w:ind w:firstLine="640" w:firstLineChars="20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(1)对涉路工程设计方案中所涉及公路现状、与公路的位置关系、与周边有关构造物的位置关系、方案设计主要技术指标等进行详细核实。</w:t>
      </w:r>
    </w:p>
    <w:p>
      <w:pPr>
        <w:widowControl/>
        <w:ind w:firstLine="640" w:firstLineChars="20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(2)对涉路工程技术方案在法律法规、技术规范及公路发展规划等方面进行符合性审核查找、分析和预测涉路工程设计和施工方案对公路的影响，</w:t>
      </w:r>
      <w:r>
        <w:rPr>
          <w:rFonts w:hint="eastAsia" w:ascii="仿宋_GB2312" w:hAnsi="宋体" w:eastAsia="仿宋_GB2312" w:cs="宋体"/>
          <w:kern w:val="0"/>
          <w:sz w:val="32"/>
          <w:szCs w:val="32"/>
          <w:lang w:val="zh-CN" w:eastAsia="zh-CN"/>
        </w:rPr>
        <w:t>并对交通组织方案、施工方案及施工应急预案进行评价，</w:t>
      </w:r>
      <w:r>
        <w:rPr>
          <w:rFonts w:hint="eastAsia" w:ascii="仿宋_GB2312" w:hAnsi="宋体" w:eastAsia="仿宋_GB2312" w:cs="宋体"/>
          <w:kern w:val="0"/>
          <w:sz w:val="32"/>
          <w:szCs w:val="32"/>
          <w:lang w:val="zh-CN"/>
        </w:rPr>
        <w:t>提出明确的评价结论及合理可行的意见和建议，并形成涉路工程技术评价报告。</w:t>
      </w:r>
    </w:p>
    <w:p>
      <w:pPr>
        <w:widowControl/>
        <w:ind w:firstLine="640" w:firstLineChars="20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3.人员要求：项目负责人1人，须工程</w:t>
      </w:r>
      <w:r>
        <w:rPr>
          <w:rFonts w:hint="eastAsia" w:ascii="仿宋_GB2312" w:hAnsi="宋体" w:eastAsia="仿宋_GB2312" w:cs="宋体"/>
          <w:kern w:val="0"/>
          <w:sz w:val="32"/>
          <w:szCs w:val="32"/>
          <w:lang w:val="en-US" w:eastAsia="zh-CN"/>
        </w:rPr>
        <w:t>类</w:t>
      </w:r>
      <w:r>
        <w:rPr>
          <w:rFonts w:hint="eastAsia" w:ascii="仿宋_GB2312" w:hAnsi="宋体" w:eastAsia="仿宋_GB2312" w:cs="宋体"/>
          <w:kern w:val="0"/>
          <w:sz w:val="32"/>
          <w:szCs w:val="32"/>
          <w:lang w:val="zh-CN"/>
        </w:rPr>
        <w:t xml:space="preserve">相关专业高级工程师及以上技术职称；项目组成员（除项目负责人外）不少于 </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lang w:val="zh-CN"/>
        </w:rPr>
        <w:t>人，须具有工程</w:t>
      </w:r>
      <w:r>
        <w:rPr>
          <w:rFonts w:hint="eastAsia" w:ascii="仿宋_GB2312" w:hAnsi="宋体" w:eastAsia="仿宋_GB2312" w:cs="宋体"/>
          <w:kern w:val="0"/>
          <w:sz w:val="32"/>
          <w:szCs w:val="32"/>
          <w:lang w:val="en-US" w:eastAsia="zh-CN"/>
        </w:rPr>
        <w:t>类</w:t>
      </w:r>
      <w:r>
        <w:rPr>
          <w:rFonts w:hint="eastAsia" w:ascii="仿宋_GB2312" w:hAnsi="宋体" w:eastAsia="仿宋_GB2312" w:cs="宋体"/>
          <w:kern w:val="0"/>
          <w:sz w:val="32"/>
          <w:szCs w:val="32"/>
          <w:lang w:val="zh-CN"/>
        </w:rPr>
        <w:t>相关专业中级及以上职称。</w:t>
      </w:r>
    </w:p>
    <w:p>
      <w:pPr>
        <w:widowControl/>
        <w:ind w:firstLine="64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4.服务期限：自合同签订、提供</w:t>
      </w:r>
      <w:r>
        <w:rPr>
          <w:rFonts w:hint="eastAsia" w:ascii="仿宋_GB2312" w:hAnsi="宋体" w:eastAsia="仿宋_GB2312" w:cs="宋体"/>
          <w:kern w:val="0"/>
          <w:sz w:val="32"/>
          <w:szCs w:val="32"/>
          <w:lang w:val="zh-CN" w:eastAsia="zh-CN"/>
        </w:rPr>
        <w:t>完整施工图设计文件</w:t>
      </w:r>
      <w:r>
        <w:rPr>
          <w:rFonts w:hint="eastAsia" w:ascii="仿宋_GB2312" w:hAnsi="宋体" w:eastAsia="仿宋_GB2312" w:cs="宋体"/>
          <w:kern w:val="0"/>
          <w:sz w:val="32"/>
          <w:szCs w:val="32"/>
          <w:lang w:val="zh-CN"/>
        </w:rPr>
        <w:t>之日起30天内提交报告。</w:t>
      </w:r>
    </w:p>
    <w:p>
      <w:pPr>
        <w:widowControl/>
        <w:ind w:firstLine="64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5.服务成果要求</w:t>
      </w:r>
    </w:p>
    <w:p>
      <w:pPr>
        <w:widowControl/>
        <w:ind w:firstLine="640"/>
        <w:jc w:val="left"/>
        <w:rPr>
          <w:rFonts w:hint="eastAsia" w:ascii="仿宋_GB2312" w:hAnsi="宋体" w:eastAsia="仿宋_GB2312" w:cs="宋体"/>
          <w:color w:val="auto"/>
          <w:kern w:val="0"/>
          <w:sz w:val="32"/>
          <w:szCs w:val="32"/>
          <w:lang w:val="zh-CN"/>
        </w:rPr>
      </w:pPr>
      <w:r>
        <w:rPr>
          <w:rFonts w:hint="eastAsia" w:ascii="仿宋_GB2312" w:hAnsi="宋体" w:eastAsia="仿宋_GB2312" w:cs="宋体"/>
          <w:kern w:val="0"/>
          <w:sz w:val="32"/>
          <w:szCs w:val="32"/>
        </w:rPr>
        <w:t>5.1</w:t>
      </w:r>
      <w:r>
        <w:rPr>
          <w:rFonts w:hint="eastAsia" w:ascii="仿宋_GB2312" w:hAnsi="宋体" w:eastAsia="仿宋_GB2312" w:cs="宋体"/>
          <w:kern w:val="0"/>
          <w:sz w:val="32"/>
          <w:szCs w:val="32"/>
          <w:lang w:val="zh-CN"/>
        </w:rPr>
        <w:t>编制本项目涉路工程技术评价报告，报告需满足《山东省涉路工程建设技术评价办法》（鲁交发﹝2022﹞5号）等国家及地方的有关法规、标准。报告作为重大涉路工程施工图设计报送交通运输主管部门评审要件，需满足交通运输主管部门</w:t>
      </w:r>
      <w:r>
        <w:rPr>
          <w:rFonts w:hint="eastAsia" w:ascii="仿宋_GB2312" w:hAnsi="宋体" w:eastAsia="仿宋_GB2312" w:cs="宋体"/>
          <w:color w:val="auto"/>
          <w:kern w:val="0"/>
          <w:sz w:val="32"/>
          <w:szCs w:val="32"/>
          <w:lang w:val="zh-CN"/>
        </w:rPr>
        <w:t>批复重大涉路工程施工图设计方案要求。</w:t>
      </w:r>
    </w:p>
    <w:p>
      <w:pPr>
        <w:widowControl/>
        <w:ind w:firstLine="640"/>
        <w:jc w:val="left"/>
        <w:rPr>
          <w:rFonts w:ascii="仿宋_GB2312" w:hAnsi="宋体" w:eastAsia="仿宋_GB2312" w:cs="宋体"/>
          <w:color w:val="auto"/>
          <w:kern w:val="0"/>
          <w:sz w:val="32"/>
          <w:szCs w:val="32"/>
          <w:lang w:val="zh-CN"/>
        </w:rPr>
      </w:pPr>
      <w:r>
        <w:rPr>
          <w:rFonts w:hint="eastAsia" w:ascii="仿宋_GB2312" w:hAnsi="宋体" w:eastAsia="仿宋_GB2312" w:cs="宋体"/>
          <w:color w:val="auto"/>
          <w:kern w:val="0"/>
          <w:sz w:val="32"/>
          <w:szCs w:val="32"/>
          <w:lang w:val="zh-CN"/>
        </w:rPr>
        <w:t>需协助采购单位完成与交通运输主管部门进行沟通并配合采购单位完成涉路工程施工图设计方案的评审，如评审提出意见，应对根据评审意见修改后的设计方案进行复核。</w:t>
      </w:r>
    </w:p>
    <w:p>
      <w:pPr>
        <w:widowControl/>
        <w:ind w:firstLine="640"/>
        <w:jc w:val="left"/>
        <w:rPr>
          <w:rFonts w:ascii="仿宋_GB2312" w:hAnsi="宋体" w:eastAsia="仿宋_GB2312" w:cs="宋体"/>
          <w:kern w:val="0"/>
          <w:sz w:val="32"/>
          <w:szCs w:val="32"/>
          <w:lang w:val="zh-CN"/>
        </w:rPr>
      </w:pPr>
      <w:r>
        <w:rPr>
          <w:rFonts w:hint="eastAsia" w:ascii="仿宋_GB2312" w:hAnsi="宋体" w:eastAsia="仿宋_GB2312" w:cs="宋体"/>
          <w:color w:val="auto"/>
          <w:kern w:val="0"/>
          <w:sz w:val="32"/>
          <w:szCs w:val="32"/>
        </w:rPr>
        <w:t>5</w:t>
      </w:r>
      <w:r>
        <w:rPr>
          <w:rFonts w:hint="eastAsia" w:ascii="仿宋_GB2312" w:hAnsi="宋体" w:eastAsia="仿宋_GB2312" w:cs="宋体"/>
          <w:color w:val="auto"/>
          <w:kern w:val="0"/>
          <w:sz w:val="32"/>
          <w:szCs w:val="32"/>
          <w:lang w:val="zh-CN"/>
        </w:rPr>
        <w:t>.2涉路工程技术评价报告需满足</w:t>
      </w:r>
      <w:r>
        <w:rPr>
          <w:rFonts w:hint="eastAsia" w:ascii="仿宋_GB2312" w:hAnsi="宋体" w:eastAsia="仿宋_GB2312" w:cs="宋体"/>
          <w:color w:val="auto"/>
          <w:kern w:val="0"/>
          <w:sz w:val="32"/>
          <w:szCs w:val="32"/>
        </w:rPr>
        <w:t>配</w:t>
      </w:r>
      <w:r>
        <w:rPr>
          <w:rFonts w:hint="eastAsia" w:ascii="仿宋_GB2312" w:hAnsi="宋体" w:eastAsia="仿宋_GB2312" w:cs="宋体"/>
          <w:kern w:val="0"/>
          <w:sz w:val="32"/>
          <w:szCs w:val="32"/>
        </w:rPr>
        <w:t>合办理涉路工程施工许可证审批要求。</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1.报价应为含税全包价费用，包括提供</w:t>
      </w:r>
      <w:r>
        <w:rPr>
          <w:rFonts w:hint="eastAsia" w:ascii="仿宋_GB2312" w:eastAsia="仿宋_GB2312"/>
          <w:sz w:val="32"/>
          <w:szCs w:val="32"/>
          <w:lang w:val="en-US" w:eastAsia="zh-CN"/>
        </w:rPr>
        <w:t>上述</w:t>
      </w:r>
      <w:r>
        <w:rPr>
          <w:rFonts w:hint="eastAsia" w:ascii="仿宋_GB2312" w:eastAsia="仿宋_GB2312"/>
          <w:sz w:val="32"/>
          <w:szCs w:val="32"/>
        </w:rPr>
        <w:t>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3.报价文件资料包括：营业执照（复印件）、资质证书（复印件）、同类合同业绩（复印件）、法人身份证明或授权委托书（附件1）、报价承诺函（附件2）、报价</w:t>
      </w:r>
      <w:r>
        <w:rPr>
          <w:rFonts w:hint="eastAsia" w:ascii="仿宋_GB2312" w:eastAsia="仿宋_GB2312"/>
          <w:sz w:val="32"/>
          <w:szCs w:val="32"/>
          <w:lang w:eastAsia="zh-CN"/>
        </w:rPr>
        <w:t>表</w:t>
      </w:r>
      <w:r>
        <w:rPr>
          <w:rFonts w:hint="eastAsia" w:ascii="仿宋_GB2312" w:eastAsia="仿宋_GB2312"/>
          <w:sz w:val="32"/>
          <w:szCs w:val="32"/>
        </w:rPr>
        <w:t>（附件3）、服务人员配备表（附件4）及人员身份证（复印件）、专业技术资格证书（复印件）、社保证明材料等。报价文件包括但不限于以上资料，报价文件一式三份需加盖公章并装订成册。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w:t>
      </w:r>
      <w:r>
        <w:rPr>
          <w:rFonts w:hint="eastAsia" w:ascii="仿宋_GB2312" w:eastAsia="仿宋_GB2312"/>
          <w:sz w:val="32"/>
          <w:szCs w:val="32"/>
          <w:lang w:val="en-US" w:eastAsia="zh-CN"/>
        </w:rPr>
        <w:t>9</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2.报价形式：报价文件采取</w:t>
      </w:r>
      <w:r>
        <w:rPr>
          <w:rFonts w:hint="eastAsia" w:ascii="仿宋_GB2312" w:eastAsia="仿宋_GB2312"/>
          <w:sz w:val="32"/>
          <w:szCs w:val="32"/>
          <w:lang w:eastAsia="zh-CN"/>
        </w:rPr>
        <w:t>邮寄或</w:t>
      </w:r>
      <w:r>
        <w:rPr>
          <w:rFonts w:hint="eastAsia" w:ascii="仿宋_GB2312" w:eastAsia="仿宋_GB2312"/>
          <w:sz w:val="32"/>
          <w:szCs w:val="32"/>
        </w:rPr>
        <w:t>现场递交的形式。</w:t>
      </w:r>
    </w:p>
    <w:p>
      <w:pPr>
        <w:widowControl/>
        <w:ind w:firstLine="640"/>
        <w:jc w:val="left"/>
        <w:rPr>
          <w:rFonts w:ascii="仿宋_GB2312" w:eastAsia="仿宋_GB2312"/>
          <w:sz w:val="32"/>
          <w:szCs w:val="32"/>
        </w:rPr>
      </w:pPr>
      <w:r>
        <w:rPr>
          <w:rFonts w:hint="eastAsia" w:ascii="仿宋_GB2312" w:eastAsia="仿宋_GB2312"/>
          <w:sz w:val="32"/>
          <w:szCs w:val="32"/>
        </w:rPr>
        <w:t>3.送达地点：</w:t>
      </w:r>
      <w:r>
        <w:rPr>
          <w:rFonts w:hint="eastAsia" w:ascii="仿宋_GB2312" w:hAnsi="宋体" w:eastAsia="仿宋_GB2312" w:cs="宋体"/>
          <w:kern w:val="0"/>
          <w:sz w:val="32"/>
          <w:szCs w:val="32"/>
        </w:rPr>
        <w:t>青岛市崂山区香港东路195号上实中心T2办公楼6楼</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本项目招标公告发出之日起至报价截止时间止。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ind w:firstLine="640" w:firstLineChars="20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val="en-US" w:eastAsia="zh-CN"/>
        </w:rPr>
        <w:t>祁工</w:t>
      </w:r>
      <w:r>
        <w:rPr>
          <w:rFonts w:hint="eastAsia" w:ascii="仿宋_GB2312" w:hAnsi="宋体" w:eastAsia="仿宋_GB2312" w:cs="宋体"/>
          <w:kern w:val="0"/>
          <w:sz w:val="32"/>
          <w:szCs w:val="32"/>
        </w:rPr>
        <w:t xml:space="preserve">      电话：0532-6778179</w:t>
      </w:r>
      <w:r>
        <w:rPr>
          <w:rFonts w:hint="eastAsia" w:ascii="仿宋_GB2312" w:hAnsi="宋体" w:eastAsia="仿宋_GB2312" w:cs="宋体"/>
          <w:kern w:val="0"/>
          <w:sz w:val="32"/>
          <w:szCs w:val="32"/>
          <w:lang w:val="en-US" w:eastAsia="zh-CN"/>
        </w:rPr>
        <w:t>9</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4.服务人员配备表</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pStyle w:val="5"/>
        <w:jc w:val="right"/>
        <w:rPr>
          <w:rFonts w:ascii="仿宋_GB2312" w:hAnsi="宋体" w:eastAsia="仿宋_GB2312" w:cs="宋体"/>
          <w:kern w:val="0"/>
          <w:sz w:val="32"/>
          <w:szCs w:val="32"/>
        </w:rPr>
      </w:pPr>
      <w:r>
        <w:rPr>
          <w:rFonts w:hint="eastAsia" w:ascii="仿宋_GB2312" w:hAnsi="宋体" w:eastAsia="仿宋_GB2312" w:cs="宋体"/>
          <w:kern w:val="0"/>
          <w:sz w:val="32"/>
          <w:szCs w:val="32"/>
        </w:rPr>
        <w:t>青岛城投路桥投资发展有限公司</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eastAsia="仿宋_GB2312"/>
          <w:sz w:val="32"/>
          <w:szCs w:val="32"/>
          <w:lang w:val="en-US" w:eastAsia="zh-CN"/>
        </w:rPr>
        <w:t>4</w:t>
      </w:r>
      <w:r>
        <w:rPr>
          <w:rFonts w:hint="eastAsia" w:ascii="仿宋_GB2312" w:hAnsi="仿宋_GB2312" w:eastAsia="仿宋_GB2312" w:cs="仿宋_GB2312"/>
          <w:kern w:val="0"/>
          <w:sz w:val="32"/>
          <w:szCs w:val="32"/>
        </w:rPr>
        <w:t xml:space="preserve">日         </w:t>
      </w:r>
    </w:p>
    <w:p>
      <w:pPr>
        <w:spacing w:line="560" w:lineRule="exact"/>
        <w:jc w:val="left"/>
        <w:rPr>
          <w:rFonts w:ascii="仿宋" w:hAnsi="仿宋" w:eastAsia="仿宋" w:cs="仿宋"/>
          <w:sz w:val="30"/>
          <w:szCs w:val="30"/>
        </w:rPr>
      </w:pPr>
    </w:p>
    <w:p>
      <w:pPr>
        <w:spacing w:line="560" w:lineRule="exact"/>
        <w:jc w:val="left"/>
        <w:rPr>
          <w:rFonts w:hint="eastAsia" w:ascii="仿宋" w:hAnsi="仿宋" w:eastAsia="仿宋" w:cs="仿宋"/>
          <w:sz w:val="30"/>
          <w:szCs w:val="30"/>
        </w:rPr>
      </w:pPr>
      <w:bookmarkStart w:id="0" w:name="_GoBack"/>
      <w:bookmarkEnd w:id="0"/>
    </w:p>
    <w:p>
      <w:pPr>
        <w:spacing w:line="560" w:lineRule="exact"/>
        <w:jc w:val="left"/>
        <w:rPr>
          <w:rFonts w:hint="eastAsia" w:ascii="仿宋" w:hAnsi="仿宋" w:eastAsia="仿宋" w:cs="仿宋"/>
          <w:sz w:val="30"/>
          <w:szCs w:val="30"/>
        </w:rPr>
      </w:pPr>
    </w:p>
    <w:p>
      <w:pPr>
        <w:spacing w:line="560" w:lineRule="exact"/>
        <w:jc w:val="left"/>
        <w:rPr>
          <w:rFonts w:hint="eastAsia" w:ascii="仿宋" w:hAnsi="仿宋" w:eastAsia="仿宋" w:cs="仿宋"/>
          <w:sz w:val="30"/>
          <w:szCs w:val="30"/>
        </w:rPr>
      </w:pPr>
    </w:p>
    <w:p>
      <w:pPr>
        <w:spacing w:line="560" w:lineRule="exact"/>
        <w:jc w:val="left"/>
        <w:rPr>
          <w:rFonts w:hint="eastAsia" w:ascii="仿宋" w:hAnsi="仿宋" w:eastAsia="仿宋" w:cs="仿宋"/>
          <w:sz w:val="30"/>
          <w:szCs w:val="30"/>
        </w:rPr>
      </w:pP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5"/>
      </w:pPr>
    </w:p>
    <w:p>
      <w:pPr>
        <w:pStyle w:val="5"/>
      </w:pPr>
    </w:p>
    <w:p>
      <w:pPr>
        <w:pStyle w:val="5"/>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jc w:val="both"/>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宋体" w:eastAsia="仿宋_GB2312" w:cs="宋体"/>
          <w:kern w:val="0"/>
          <w:sz w:val="28"/>
          <w:szCs w:val="28"/>
          <w:u w:val="single"/>
        </w:rPr>
        <w:t>青岛城投路桥投资发展有限公司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跨海大桥高架路二期-青银高速立交剩余匝道及地面道路工程涉路</w:t>
      </w:r>
      <w:r>
        <w:rPr>
          <w:rFonts w:hint="eastAsia" w:ascii="仿宋_GB2312" w:hAnsi="仿宋" w:eastAsia="仿宋_GB2312"/>
          <w:color w:val="000000"/>
          <w:sz w:val="28"/>
          <w:szCs w:val="28"/>
          <w:u w:val="single"/>
          <w:lang w:eastAsia="zh-CN"/>
        </w:rPr>
        <w:t>工程</w:t>
      </w:r>
      <w:r>
        <w:rPr>
          <w:rFonts w:hint="eastAsia" w:ascii="仿宋_GB2312" w:hAnsi="仿宋" w:eastAsia="仿宋_GB2312"/>
          <w:color w:val="000000"/>
          <w:sz w:val="28"/>
          <w:szCs w:val="28"/>
          <w:u w:val="single"/>
        </w:rPr>
        <w:t>技术评价</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5"/>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hint="eastAsia" w:ascii="仿宋_GB2312" w:hAnsi="宋体" w:eastAsia="仿宋_GB2312" w:cs="宋体"/>
          <w:kern w:val="0"/>
          <w:sz w:val="32"/>
          <w:szCs w:val="32"/>
        </w:rPr>
      </w:pPr>
    </w:p>
    <w:p>
      <w:pPr>
        <w:rPr>
          <w:rFonts w:hint="eastAsia"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报价单</w:t>
      </w:r>
    </w:p>
    <w:tbl>
      <w:tblPr>
        <w:tblStyle w:val="10"/>
        <w:tblW w:w="8990"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8"/>
        <w:gridCol w:w="2044"/>
        <w:gridCol w:w="7"/>
        <w:gridCol w:w="4104"/>
        <w:gridCol w:w="1276"/>
        <w:gridCol w:w="7"/>
        <w:gridCol w:w="10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8" w:hRule="atLeast"/>
        </w:trPr>
        <w:tc>
          <w:tcPr>
            <w:tcW w:w="508" w:type="dxa"/>
            <w:vAlign w:val="center"/>
          </w:tcPr>
          <w:p>
            <w:pPr>
              <w:tabs>
                <w:tab w:val="left" w:pos="1418"/>
              </w:tabs>
              <w:autoSpaceDE w:val="0"/>
              <w:autoSpaceDN w:val="0"/>
              <w:adjustRightInd w:val="0"/>
              <w:spacing w:line="360" w:lineRule="auto"/>
              <w:jc w:val="center"/>
              <w:rPr>
                <w:rFonts w:eastAsia="仿宋"/>
                <w:sz w:val="24"/>
                <w:lang w:val="zh-CN"/>
              </w:rPr>
            </w:pPr>
            <w:r>
              <w:rPr>
                <w:rFonts w:hint="eastAsia" w:ascii="仿宋" w:hAnsi="仿宋" w:eastAsia="仿宋" w:cs="仿宋"/>
                <w:b/>
                <w:lang w:val="zh-CN"/>
              </w:rPr>
              <w:t>序号</w:t>
            </w:r>
          </w:p>
        </w:tc>
        <w:tc>
          <w:tcPr>
            <w:tcW w:w="6155" w:type="dxa"/>
            <w:gridSpan w:val="3"/>
            <w:vAlign w:val="center"/>
          </w:tcPr>
          <w:p>
            <w:pPr>
              <w:spacing w:line="360" w:lineRule="exact"/>
              <w:jc w:val="center"/>
              <w:rPr>
                <w:rFonts w:eastAsia="仿宋"/>
                <w:kern w:val="0"/>
                <w:sz w:val="24"/>
                <w:lang w:val="zh-CN"/>
              </w:rPr>
            </w:pPr>
            <w:r>
              <w:rPr>
                <w:rFonts w:hint="eastAsia" w:ascii="仿宋" w:hAnsi="仿宋" w:eastAsia="仿宋" w:cs="仿宋"/>
                <w:b/>
              </w:rPr>
              <w:t>工作内容</w:t>
            </w:r>
          </w:p>
        </w:tc>
        <w:tc>
          <w:tcPr>
            <w:tcW w:w="1276" w:type="dxa"/>
            <w:vAlign w:val="center"/>
          </w:tcPr>
          <w:p>
            <w:pPr>
              <w:spacing w:line="460" w:lineRule="exact"/>
              <w:jc w:val="center"/>
              <w:rPr>
                <w:rFonts w:hint="eastAsia" w:eastAsia="仿宋"/>
                <w:sz w:val="24"/>
                <w:lang w:val="en-US" w:eastAsia="zh-CN"/>
              </w:rPr>
            </w:pPr>
            <w:r>
              <w:rPr>
                <w:rFonts w:hint="eastAsia" w:ascii="仿宋" w:hAnsi="仿宋" w:eastAsia="仿宋" w:cs="仿宋"/>
                <w:b/>
              </w:rPr>
              <w:t>含税报价</w:t>
            </w:r>
            <w:r>
              <w:rPr>
                <w:rFonts w:hint="eastAsia" w:ascii="仿宋" w:hAnsi="仿宋" w:eastAsia="仿宋" w:cs="仿宋"/>
                <w:b/>
                <w:lang w:val="en-US" w:eastAsia="zh-CN"/>
              </w:rPr>
              <w:t>(元）</w:t>
            </w:r>
          </w:p>
        </w:tc>
        <w:tc>
          <w:tcPr>
            <w:tcW w:w="1051" w:type="dxa"/>
            <w:gridSpan w:val="2"/>
            <w:vAlign w:val="center"/>
          </w:tcPr>
          <w:p>
            <w:pPr>
              <w:tabs>
                <w:tab w:val="left" w:pos="1418"/>
              </w:tabs>
              <w:autoSpaceDE w:val="0"/>
              <w:autoSpaceDN w:val="0"/>
              <w:adjustRightInd w:val="0"/>
              <w:spacing w:line="360" w:lineRule="auto"/>
              <w:jc w:val="center"/>
              <w:rPr>
                <w:rFonts w:eastAsia="仿宋"/>
                <w:sz w:val="24"/>
                <w:lang w:val="zh-CN"/>
              </w:rPr>
            </w:pPr>
            <w:r>
              <w:rPr>
                <w:rFonts w:hint="eastAsia" w:ascii="仿宋" w:hAnsi="仿宋" w:eastAsia="仿宋" w:cs="仿宋"/>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508" w:type="dxa"/>
            <w:vAlign w:val="center"/>
          </w:tcPr>
          <w:p>
            <w:pPr>
              <w:autoSpaceDE w:val="0"/>
              <w:autoSpaceDN w:val="0"/>
              <w:adjustRightInd w:val="0"/>
              <w:spacing w:line="312" w:lineRule="auto"/>
              <w:jc w:val="center"/>
              <w:rPr>
                <w:rFonts w:eastAsia="仿宋"/>
                <w:szCs w:val="21"/>
              </w:rPr>
            </w:pPr>
            <w:r>
              <w:rPr>
                <w:rFonts w:ascii="仿宋" w:eastAsia="仿宋" w:cs="仿宋"/>
                <w:szCs w:val="21"/>
                <w:lang w:val="zh-CN"/>
              </w:rPr>
              <w:t>1</w:t>
            </w:r>
          </w:p>
        </w:tc>
        <w:tc>
          <w:tcPr>
            <w:tcW w:w="2044" w:type="dxa"/>
            <w:vAlign w:val="center"/>
          </w:tcPr>
          <w:p>
            <w:pPr>
              <w:autoSpaceDE w:val="0"/>
              <w:autoSpaceDN w:val="0"/>
              <w:adjustRightInd w:val="0"/>
              <w:spacing w:line="312" w:lineRule="auto"/>
              <w:rPr>
                <w:rFonts w:eastAsia="仿宋"/>
                <w:szCs w:val="21"/>
              </w:rPr>
            </w:pPr>
            <w:r>
              <w:rPr>
                <w:rFonts w:hint="eastAsia" w:ascii="仿宋" w:eastAsia="仿宋" w:cs="仿宋"/>
                <w:szCs w:val="21"/>
              </w:rPr>
              <w:t>涉路评价第一部分</w:t>
            </w:r>
          </w:p>
        </w:tc>
        <w:tc>
          <w:tcPr>
            <w:tcW w:w="4111" w:type="dxa"/>
            <w:gridSpan w:val="2"/>
            <w:vAlign w:val="center"/>
          </w:tcPr>
          <w:p>
            <w:pPr>
              <w:autoSpaceDE w:val="0"/>
              <w:autoSpaceDN w:val="0"/>
              <w:adjustRightInd w:val="0"/>
              <w:spacing w:line="312" w:lineRule="auto"/>
              <w:rPr>
                <w:szCs w:val="21"/>
              </w:rPr>
            </w:pPr>
            <w:r>
              <w:rPr>
                <w:rFonts w:hint="eastAsia" w:ascii="仿宋" w:eastAsia="仿宋" w:cs="仿宋"/>
                <w:szCs w:val="21"/>
              </w:rPr>
              <w:t>SW匝道下穿青银高速</w:t>
            </w:r>
          </w:p>
        </w:tc>
        <w:tc>
          <w:tcPr>
            <w:tcW w:w="1276" w:type="dxa"/>
            <w:vAlign w:val="center"/>
          </w:tcPr>
          <w:p>
            <w:pPr>
              <w:widowControl/>
              <w:jc w:val="center"/>
              <w:textAlignment w:val="center"/>
              <w:rPr>
                <w:rFonts w:eastAsia="仿宋"/>
                <w:szCs w:val="21"/>
              </w:rPr>
            </w:pPr>
          </w:p>
        </w:tc>
        <w:tc>
          <w:tcPr>
            <w:tcW w:w="1051" w:type="dxa"/>
            <w:gridSpan w:val="2"/>
            <w:vAlign w:val="center"/>
          </w:tcPr>
          <w:p>
            <w:pPr>
              <w:autoSpaceDE w:val="0"/>
              <w:autoSpaceDN w:val="0"/>
              <w:adjustRightInd w:val="0"/>
              <w:spacing w:line="312" w:lineRule="auto"/>
              <w:jc w:val="center"/>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508" w:type="dxa"/>
            <w:vAlign w:val="center"/>
          </w:tcPr>
          <w:p>
            <w:pPr>
              <w:autoSpaceDE w:val="0"/>
              <w:autoSpaceDN w:val="0"/>
              <w:adjustRightInd w:val="0"/>
              <w:spacing w:line="312" w:lineRule="auto"/>
              <w:jc w:val="center"/>
              <w:rPr>
                <w:rFonts w:eastAsia="仿宋"/>
                <w:szCs w:val="21"/>
              </w:rPr>
            </w:pPr>
            <w:r>
              <w:rPr>
                <w:rFonts w:ascii="仿宋" w:eastAsia="仿宋" w:cs="仿宋"/>
                <w:szCs w:val="21"/>
                <w:lang w:val="zh-CN"/>
              </w:rPr>
              <w:t>2</w:t>
            </w:r>
          </w:p>
        </w:tc>
        <w:tc>
          <w:tcPr>
            <w:tcW w:w="2044" w:type="dxa"/>
            <w:vAlign w:val="center"/>
          </w:tcPr>
          <w:p>
            <w:pPr>
              <w:autoSpaceDE w:val="0"/>
              <w:autoSpaceDN w:val="0"/>
              <w:adjustRightInd w:val="0"/>
              <w:spacing w:line="312" w:lineRule="auto"/>
              <w:rPr>
                <w:rFonts w:eastAsia="仿宋"/>
                <w:szCs w:val="21"/>
              </w:rPr>
            </w:pPr>
            <w:r>
              <w:rPr>
                <w:rFonts w:hint="eastAsia" w:ascii="仿宋" w:eastAsia="仿宋" w:cs="仿宋"/>
                <w:szCs w:val="21"/>
              </w:rPr>
              <w:t>涉路评价第二部分</w:t>
            </w:r>
          </w:p>
        </w:tc>
        <w:tc>
          <w:tcPr>
            <w:tcW w:w="4111" w:type="dxa"/>
            <w:gridSpan w:val="2"/>
            <w:vAlign w:val="center"/>
          </w:tcPr>
          <w:p>
            <w:pPr>
              <w:autoSpaceDE w:val="0"/>
              <w:autoSpaceDN w:val="0"/>
              <w:adjustRightInd w:val="0"/>
              <w:spacing w:line="312" w:lineRule="auto"/>
              <w:rPr>
                <w:rFonts w:ascii="仿宋" w:eastAsia="仿宋" w:cs="仿宋"/>
                <w:szCs w:val="21"/>
              </w:rPr>
            </w:pPr>
            <w:r>
              <w:rPr>
                <w:rFonts w:hint="eastAsia" w:ascii="仿宋" w:eastAsia="仿宋" w:cs="仿宋"/>
                <w:szCs w:val="21"/>
              </w:rPr>
              <w:t>NE匝道并行青银高速，约300m</w:t>
            </w:r>
          </w:p>
        </w:tc>
        <w:tc>
          <w:tcPr>
            <w:tcW w:w="1276" w:type="dxa"/>
            <w:vAlign w:val="center"/>
          </w:tcPr>
          <w:p>
            <w:pPr>
              <w:widowControl/>
              <w:jc w:val="center"/>
              <w:textAlignment w:val="center"/>
              <w:rPr>
                <w:rFonts w:eastAsia="仿宋"/>
                <w:szCs w:val="21"/>
              </w:rPr>
            </w:pPr>
          </w:p>
        </w:tc>
        <w:tc>
          <w:tcPr>
            <w:tcW w:w="1051" w:type="dxa"/>
            <w:gridSpan w:val="2"/>
            <w:vAlign w:val="center"/>
          </w:tcPr>
          <w:p>
            <w:pPr>
              <w:autoSpaceDE w:val="0"/>
              <w:autoSpaceDN w:val="0"/>
              <w:adjustRightInd w:val="0"/>
              <w:spacing w:line="312" w:lineRule="auto"/>
              <w:jc w:val="center"/>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508" w:type="dxa"/>
            <w:vAlign w:val="center"/>
          </w:tcPr>
          <w:p>
            <w:pPr>
              <w:autoSpaceDE w:val="0"/>
              <w:autoSpaceDN w:val="0"/>
              <w:adjustRightInd w:val="0"/>
              <w:spacing w:line="312" w:lineRule="auto"/>
              <w:jc w:val="center"/>
              <w:rPr>
                <w:rFonts w:eastAsia="仿宋"/>
                <w:szCs w:val="21"/>
              </w:rPr>
            </w:pPr>
            <w:r>
              <w:rPr>
                <w:rFonts w:ascii="仿宋" w:eastAsia="仿宋" w:cs="仿宋"/>
                <w:szCs w:val="21"/>
                <w:lang w:val="zh-CN"/>
              </w:rPr>
              <w:t>3</w:t>
            </w:r>
          </w:p>
        </w:tc>
        <w:tc>
          <w:tcPr>
            <w:tcW w:w="2044" w:type="dxa"/>
            <w:vAlign w:val="center"/>
          </w:tcPr>
          <w:p>
            <w:pPr>
              <w:autoSpaceDE w:val="0"/>
              <w:autoSpaceDN w:val="0"/>
              <w:adjustRightInd w:val="0"/>
              <w:spacing w:line="312" w:lineRule="auto"/>
              <w:rPr>
                <w:rFonts w:eastAsia="仿宋"/>
                <w:szCs w:val="21"/>
              </w:rPr>
            </w:pPr>
            <w:r>
              <w:rPr>
                <w:rFonts w:hint="eastAsia" w:ascii="仿宋" w:eastAsia="仿宋" w:cs="仿宋"/>
                <w:szCs w:val="21"/>
              </w:rPr>
              <w:t>涉路评价第三部分</w:t>
            </w:r>
          </w:p>
        </w:tc>
        <w:tc>
          <w:tcPr>
            <w:tcW w:w="4111" w:type="dxa"/>
            <w:gridSpan w:val="2"/>
            <w:vAlign w:val="center"/>
          </w:tcPr>
          <w:p>
            <w:pPr>
              <w:autoSpaceDE w:val="0"/>
              <w:autoSpaceDN w:val="0"/>
              <w:adjustRightInd w:val="0"/>
              <w:spacing w:line="312" w:lineRule="auto"/>
              <w:rPr>
                <w:rFonts w:ascii="仿宋" w:eastAsia="仿宋" w:cs="仿宋"/>
                <w:szCs w:val="21"/>
              </w:rPr>
            </w:pPr>
            <w:r>
              <w:rPr>
                <w:rFonts w:hint="eastAsia" w:ascii="仿宋" w:eastAsia="仿宋" w:cs="仿宋"/>
                <w:szCs w:val="21"/>
              </w:rPr>
              <w:t>青银高速拼宽（包含路基拼宽、2处桥梁拼宽、1处涵洞拼宽），约850m</w:t>
            </w:r>
          </w:p>
        </w:tc>
        <w:tc>
          <w:tcPr>
            <w:tcW w:w="1276" w:type="dxa"/>
            <w:vAlign w:val="center"/>
          </w:tcPr>
          <w:p>
            <w:pPr>
              <w:widowControl/>
              <w:jc w:val="center"/>
              <w:textAlignment w:val="center"/>
              <w:rPr>
                <w:rFonts w:eastAsia="仿宋"/>
                <w:szCs w:val="21"/>
              </w:rPr>
            </w:pPr>
          </w:p>
        </w:tc>
        <w:tc>
          <w:tcPr>
            <w:tcW w:w="1051" w:type="dxa"/>
            <w:gridSpan w:val="2"/>
            <w:vAlign w:val="center"/>
          </w:tcPr>
          <w:p>
            <w:pPr>
              <w:autoSpaceDE w:val="0"/>
              <w:autoSpaceDN w:val="0"/>
              <w:adjustRightInd w:val="0"/>
              <w:spacing w:line="312" w:lineRule="auto"/>
              <w:jc w:val="center"/>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508" w:type="dxa"/>
            <w:vAlign w:val="center"/>
          </w:tcPr>
          <w:p>
            <w:pPr>
              <w:autoSpaceDE w:val="0"/>
              <w:autoSpaceDN w:val="0"/>
              <w:adjustRightInd w:val="0"/>
              <w:spacing w:line="312" w:lineRule="auto"/>
              <w:jc w:val="center"/>
              <w:rPr>
                <w:rFonts w:ascii="仿宋" w:eastAsia="仿宋" w:cs="仿宋"/>
                <w:szCs w:val="21"/>
              </w:rPr>
            </w:pPr>
            <w:r>
              <w:rPr>
                <w:rFonts w:hint="eastAsia" w:ascii="仿宋" w:eastAsia="仿宋" w:cs="仿宋"/>
                <w:szCs w:val="21"/>
              </w:rPr>
              <w:t>4</w:t>
            </w:r>
          </w:p>
        </w:tc>
        <w:tc>
          <w:tcPr>
            <w:tcW w:w="2044" w:type="dxa"/>
            <w:vAlign w:val="center"/>
          </w:tcPr>
          <w:p>
            <w:pPr>
              <w:autoSpaceDE w:val="0"/>
              <w:autoSpaceDN w:val="0"/>
              <w:adjustRightInd w:val="0"/>
              <w:spacing w:line="312" w:lineRule="auto"/>
              <w:rPr>
                <w:rFonts w:eastAsia="仿宋"/>
                <w:szCs w:val="21"/>
              </w:rPr>
            </w:pPr>
            <w:r>
              <w:rPr>
                <w:rFonts w:hint="eastAsia" w:ascii="仿宋" w:eastAsia="仿宋" w:cs="仿宋"/>
                <w:szCs w:val="21"/>
              </w:rPr>
              <w:t>涉路评价第四部分</w:t>
            </w:r>
          </w:p>
        </w:tc>
        <w:tc>
          <w:tcPr>
            <w:tcW w:w="4111" w:type="dxa"/>
            <w:gridSpan w:val="2"/>
            <w:vAlign w:val="center"/>
          </w:tcPr>
          <w:p>
            <w:pPr>
              <w:autoSpaceDE w:val="0"/>
              <w:autoSpaceDN w:val="0"/>
              <w:adjustRightInd w:val="0"/>
              <w:spacing w:line="312" w:lineRule="auto"/>
              <w:rPr>
                <w:rFonts w:ascii="仿宋" w:eastAsia="仿宋" w:cs="仿宋"/>
                <w:szCs w:val="21"/>
              </w:rPr>
            </w:pPr>
            <w:r>
              <w:rPr>
                <w:rFonts w:hint="eastAsia" w:ascii="仿宋" w:eastAsia="仿宋" w:cs="仿宋"/>
                <w:szCs w:val="21"/>
              </w:rPr>
              <w:t>青银高速路基改桥，一处</w:t>
            </w:r>
          </w:p>
        </w:tc>
        <w:tc>
          <w:tcPr>
            <w:tcW w:w="1276" w:type="dxa"/>
            <w:vAlign w:val="center"/>
          </w:tcPr>
          <w:p>
            <w:pPr>
              <w:widowControl/>
              <w:jc w:val="center"/>
              <w:textAlignment w:val="center"/>
              <w:rPr>
                <w:rFonts w:eastAsia="仿宋"/>
                <w:szCs w:val="21"/>
              </w:rPr>
            </w:pPr>
          </w:p>
        </w:tc>
        <w:tc>
          <w:tcPr>
            <w:tcW w:w="1051" w:type="dxa"/>
            <w:gridSpan w:val="2"/>
            <w:vAlign w:val="center"/>
          </w:tcPr>
          <w:p>
            <w:pPr>
              <w:autoSpaceDE w:val="0"/>
              <w:autoSpaceDN w:val="0"/>
              <w:adjustRightInd w:val="0"/>
              <w:spacing w:line="312" w:lineRule="auto"/>
              <w:jc w:val="center"/>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508" w:type="dxa"/>
            <w:vAlign w:val="center"/>
          </w:tcPr>
          <w:p>
            <w:pPr>
              <w:autoSpaceDE w:val="0"/>
              <w:autoSpaceDN w:val="0"/>
              <w:adjustRightInd w:val="0"/>
              <w:spacing w:line="312" w:lineRule="auto"/>
              <w:jc w:val="center"/>
              <w:rPr>
                <w:rFonts w:ascii="仿宋" w:eastAsia="仿宋" w:cs="仿宋"/>
                <w:szCs w:val="21"/>
              </w:rPr>
            </w:pPr>
            <w:r>
              <w:rPr>
                <w:rFonts w:hint="eastAsia" w:ascii="仿宋" w:eastAsia="仿宋" w:cs="仿宋"/>
                <w:szCs w:val="21"/>
              </w:rPr>
              <w:t>5</w:t>
            </w:r>
          </w:p>
        </w:tc>
        <w:tc>
          <w:tcPr>
            <w:tcW w:w="2044" w:type="dxa"/>
            <w:vAlign w:val="center"/>
          </w:tcPr>
          <w:p>
            <w:pPr>
              <w:autoSpaceDE w:val="0"/>
              <w:autoSpaceDN w:val="0"/>
              <w:adjustRightInd w:val="0"/>
              <w:spacing w:line="312" w:lineRule="auto"/>
              <w:rPr>
                <w:rFonts w:eastAsia="仿宋"/>
                <w:szCs w:val="21"/>
              </w:rPr>
            </w:pPr>
            <w:r>
              <w:rPr>
                <w:rFonts w:hint="eastAsia" w:ascii="仿宋" w:eastAsia="仿宋" w:cs="仿宋"/>
                <w:szCs w:val="21"/>
              </w:rPr>
              <w:t>涉路评价第五部分</w:t>
            </w:r>
          </w:p>
        </w:tc>
        <w:tc>
          <w:tcPr>
            <w:tcW w:w="4111" w:type="dxa"/>
            <w:gridSpan w:val="2"/>
            <w:vAlign w:val="center"/>
          </w:tcPr>
          <w:p>
            <w:pPr>
              <w:autoSpaceDE w:val="0"/>
              <w:autoSpaceDN w:val="0"/>
              <w:adjustRightInd w:val="0"/>
              <w:spacing w:line="312" w:lineRule="auto"/>
              <w:rPr>
                <w:rFonts w:ascii="仿宋" w:eastAsia="仿宋" w:cs="仿宋"/>
                <w:szCs w:val="21"/>
              </w:rPr>
            </w:pPr>
            <w:r>
              <w:rPr>
                <w:rFonts w:hint="eastAsia" w:ascii="仿宋" w:eastAsia="仿宋" w:cs="仿宋"/>
                <w:szCs w:val="21"/>
              </w:rPr>
              <w:t>调流道路，一处</w:t>
            </w:r>
          </w:p>
        </w:tc>
        <w:tc>
          <w:tcPr>
            <w:tcW w:w="1276" w:type="dxa"/>
            <w:vAlign w:val="center"/>
          </w:tcPr>
          <w:p>
            <w:pPr>
              <w:widowControl/>
              <w:jc w:val="center"/>
              <w:textAlignment w:val="center"/>
              <w:rPr>
                <w:rFonts w:eastAsia="仿宋"/>
                <w:szCs w:val="21"/>
              </w:rPr>
            </w:pPr>
          </w:p>
        </w:tc>
        <w:tc>
          <w:tcPr>
            <w:tcW w:w="1051" w:type="dxa"/>
            <w:gridSpan w:val="2"/>
            <w:vAlign w:val="center"/>
          </w:tcPr>
          <w:p>
            <w:pPr>
              <w:autoSpaceDE w:val="0"/>
              <w:autoSpaceDN w:val="0"/>
              <w:adjustRightInd w:val="0"/>
              <w:spacing w:line="312" w:lineRule="auto"/>
              <w:jc w:val="center"/>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508" w:type="dxa"/>
            <w:vAlign w:val="center"/>
          </w:tcPr>
          <w:p>
            <w:pPr>
              <w:autoSpaceDE w:val="0"/>
              <w:autoSpaceDN w:val="0"/>
              <w:adjustRightInd w:val="0"/>
              <w:spacing w:line="312" w:lineRule="auto"/>
              <w:jc w:val="center"/>
              <w:rPr>
                <w:rFonts w:ascii="仿宋" w:eastAsia="仿宋" w:cs="仿宋"/>
                <w:szCs w:val="21"/>
              </w:rPr>
            </w:pPr>
            <w:r>
              <w:rPr>
                <w:rFonts w:hint="eastAsia" w:ascii="仿宋" w:eastAsia="仿宋" w:cs="仿宋"/>
                <w:szCs w:val="21"/>
              </w:rPr>
              <w:t>6</w:t>
            </w:r>
          </w:p>
        </w:tc>
        <w:tc>
          <w:tcPr>
            <w:tcW w:w="2044" w:type="dxa"/>
            <w:tcBorders>
              <w:right w:val="single" w:color="auto" w:sz="4" w:space="0"/>
            </w:tcBorders>
            <w:vAlign w:val="center"/>
          </w:tcPr>
          <w:p>
            <w:pPr>
              <w:autoSpaceDE w:val="0"/>
              <w:autoSpaceDN w:val="0"/>
              <w:adjustRightInd w:val="0"/>
              <w:spacing w:line="312" w:lineRule="auto"/>
              <w:rPr>
                <w:rFonts w:eastAsia="仿宋"/>
                <w:szCs w:val="21"/>
              </w:rPr>
            </w:pPr>
            <w:r>
              <w:rPr>
                <w:rFonts w:hint="eastAsia" w:ascii="仿宋" w:eastAsia="仿宋" w:cs="仿宋"/>
                <w:szCs w:val="21"/>
              </w:rPr>
              <w:t>涉路评价第六部分</w:t>
            </w:r>
          </w:p>
        </w:tc>
        <w:tc>
          <w:tcPr>
            <w:tcW w:w="4111" w:type="dxa"/>
            <w:gridSpan w:val="2"/>
            <w:tcBorders>
              <w:left w:val="single" w:color="auto" w:sz="4" w:space="0"/>
            </w:tcBorders>
            <w:vAlign w:val="center"/>
          </w:tcPr>
          <w:p>
            <w:pPr>
              <w:autoSpaceDE w:val="0"/>
              <w:autoSpaceDN w:val="0"/>
              <w:adjustRightInd w:val="0"/>
              <w:spacing w:line="312" w:lineRule="auto"/>
              <w:rPr>
                <w:rFonts w:ascii="仿宋" w:eastAsia="仿宋" w:cs="仿宋"/>
                <w:szCs w:val="21"/>
              </w:rPr>
            </w:pPr>
            <w:r>
              <w:rPr>
                <w:rFonts w:hint="eastAsia" w:ascii="仿宋" w:eastAsia="仿宋" w:cs="仿宋"/>
                <w:szCs w:val="21"/>
              </w:rPr>
              <w:t>新建九根下穿青银高速管线（含中水、热力、中压燃气、两道雨水、通信、两道给水、电力管线）</w:t>
            </w:r>
          </w:p>
        </w:tc>
        <w:tc>
          <w:tcPr>
            <w:tcW w:w="1276" w:type="dxa"/>
            <w:tcBorders>
              <w:right w:val="single" w:color="auto" w:sz="4" w:space="0"/>
            </w:tcBorders>
            <w:vAlign w:val="center"/>
          </w:tcPr>
          <w:p>
            <w:pPr>
              <w:widowControl/>
              <w:jc w:val="center"/>
              <w:textAlignment w:val="center"/>
              <w:rPr>
                <w:rFonts w:eastAsia="仿宋"/>
                <w:szCs w:val="21"/>
              </w:rPr>
            </w:pPr>
          </w:p>
        </w:tc>
        <w:tc>
          <w:tcPr>
            <w:tcW w:w="1051" w:type="dxa"/>
            <w:gridSpan w:val="2"/>
            <w:tcBorders>
              <w:left w:val="single" w:color="auto" w:sz="4" w:space="0"/>
            </w:tcBorders>
            <w:vAlign w:val="center"/>
          </w:tcPr>
          <w:p>
            <w:pPr>
              <w:autoSpaceDE w:val="0"/>
              <w:autoSpaceDN w:val="0"/>
              <w:adjustRightInd w:val="0"/>
              <w:spacing w:line="312" w:lineRule="auto"/>
              <w:jc w:val="center"/>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3" w:hRule="atLeast"/>
        </w:trPr>
        <w:tc>
          <w:tcPr>
            <w:tcW w:w="2559" w:type="dxa"/>
            <w:gridSpan w:val="3"/>
            <w:vMerge w:val="restart"/>
            <w:tcBorders>
              <w:right w:val="single" w:color="auto" w:sz="4" w:space="0"/>
            </w:tcBorders>
            <w:vAlign w:val="center"/>
          </w:tcPr>
          <w:p>
            <w:pPr>
              <w:autoSpaceDE w:val="0"/>
              <w:autoSpaceDN w:val="0"/>
              <w:adjustRightInd w:val="0"/>
              <w:spacing w:line="312" w:lineRule="auto"/>
              <w:jc w:val="center"/>
              <w:rPr>
                <w:rFonts w:ascii="仿宋" w:eastAsia="仿宋" w:cs="仿宋"/>
                <w:szCs w:val="21"/>
              </w:rPr>
            </w:pPr>
            <w:r>
              <w:rPr>
                <w:rFonts w:hint="eastAsia" w:ascii="仿宋" w:eastAsia="仿宋" w:cs="仿宋"/>
                <w:szCs w:val="21"/>
              </w:rPr>
              <w:t>合  计</w:t>
            </w:r>
          </w:p>
        </w:tc>
        <w:tc>
          <w:tcPr>
            <w:tcW w:w="5387" w:type="dxa"/>
            <w:gridSpan w:val="3"/>
            <w:tcBorders>
              <w:left w:val="single" w:color="auto" w:sz="4" w:space="0"/>
              <w:bottom w:val="single" w:color="auto" w:sz="4" w:space="0"/>
              <w:right w:val="nil"/>
            </w:tcBorders>
            <w:vAlign w:val="center"/>
          </w:tcPr>
          <w:p>
            <w:pPr>
              <w:autoSpaceDE w:val="0"/>
              <w:autoSpaceDN w:val="0"/>
              <w:adjustRightInd w:val="0"/>
              <w:spacing w:line="312" w:lineRule="auto"/>
              <w:jc w:val="both"/>
              <w:rPr>
                <w:rFonts w:hint="eastAsia" w:eastAsia="仿宋"/>
                <w:szCs w:val="21"/>
                <w:lang w:eastAsia="zh-CN"/>
              </w:rPr>
            </w:pPr>
            <w:r>
              <w:rPr>
                <w:rFonts w:hint="eastAsia" w:eastAsia="仿宋"/>
                <w:szCs w:val="21"/>
                <w:lang w:eastAsia="zh-CN"/>
              </w:rPr>
              <w:t>小写：</w:t>
            </w:r>
          </w:p>
        </w:tc>
        <w:tc>
          <w:tcPr>
            <w:tcW w:w="1044" w:type="dxa"/>
            <w:tcBorders>
              <w:left w:val="nil"/>
              <w:bottom w:val="single" w:color="auto" w:sz="4" w:space="0"/>
            </w:tcBorders>
            <w:vAlign w:val="center"/>
          </w:tcPr>
          <w:p>
            <w:pPr>
              <w:autoSpaceDE w:val="0"/>
              <w:autoSpaceDN w:val="0"/>
              <w:adjustRightInd w:val="0"/>
              <w:spacing w:line="312" w:lineRule="auto"/>
              <w:jc w:val="both"/>
              <w:rPr>
                <w:rFonts w:hint="default" w:eastAsia="仿宋"/>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37" w:hRule="atLeast"/>
        </w:trPr>
        <w:tc>
          <w:tcPr>
            <w:tcW w:w="2559" w:type="dxa"/>
            <w:gridSpan w:val="3"/>
            <w:vMerge w:val="continue"/>
            <w:tcBorders>
              <w:right w:val="single" w:color="auto" w:sz="4" w:space="0"/>
            </w:tcBorders>
            <w:vAlign w:val="center"/>
          </w:tcPr>
          <w:p>
            <w:pPr>
              <w:autoSpaceDE w:val="0"/>
              <w:autoSpaceDN w:val="0"/>
              <w:adjustRightInd w:val="0"/>
              <w:spacing w:line="312" w:lineRule="auto"/>
              <w:jc w:val="center"/>
              <w:rPr>
                <w:rFonts w:hint="eastAsia" w:ascii="仿宋" w:eastAsia="仿宋" w:cs="仿宋"/>
                <w:szCs w:val="21"/>
              </w:rPr>
            </w:pPr>
          </w:p>
        </w:tc>
        <w:tc>
          <w:tcPr>
            <w:tcW w:w="5387" w:type="dxa"/>
            <w:gridSpan w:val="3"/>
            <w:tcBorders>
              <w:top w:val="single" w:color="auto" w:sz="4" w:space="0"/>
              <w:left w:val="single" w:color="auto" w:sz="4" w:space="0"/>
              <w:right w:val="nil"/>
            </w:tcBorders>
            <w:vAlign w:val="center"/>
          </w:tcPr>
          <w:p>
            <w:pPr>
              <w:autoSpaceDE w:val="0"/>
              <w:autoSpaceDN w:val="0"/>
              <w:adjustRightInd w:val="0"/>
              <w:spacing w:line="312" w:lineRule="auto"/>
              <w:jc w:val="both"/>
              <w:rPr>
                <w:rFonts w:hint="eastAsia" w:eastAsia="仿宋"/>
                <w:szCs w:val="21"/>
                <w:lang w:eastAsia="zh-CN"/>
              </w:rPr>
            </w:pPr>
            <w:r>
              <w:rPr>
                <w:rFonts w:hint="eastAsia" w:eastAsia="仿宋"/>
                <w:szCs w:val="21"/>
                <w:lang w:eastAsia="zh-CN"/>
              </w:rPr>
              <w:t>大写：</w:t>
            </w:r>
          </w:p>
        </w:tc>
        <w:tc>
          <w:tcPr>
            <w:tcW w:w="1044" w:type="dxa"/>
            <w:tcBorders>
              <w:top w:val="single" w:color="auto" w:sz="4" w:space="0"/>
              <w:left w:val="nil"/>
            </w:tcBorders>
            <w:vAlign w:val="center"/>
          </w:tcPr>
          <w:p>
            <w:pPr>
              <w:autoSpaceDE w:val="0"/>
              <w:autoSpaceDN w:val="0"/>
              <w:adjustRightInd w:val="0"/>
              <w:spacing w:line="312" w:lineRule="auto"/>
              <w:jc w:val="both"/>
              <w:rPr>
                <w:rFonts w:hint="eastAsia" w:eastAsia="仿宋"/>
                <w:szCs w:val="21"/>
                <w:lang w:eastAsia="zh-CN"/>
              </w:rPr>
            </w:pPr>
          </w:p>
        </w:tc>
      </w:tr>
    </w:tbl>
    <w:p>
      <w:pPr>
        <w:spacing w:line="400" w:lineRule="exact"/>
        <w:rPr>
          <w:rFonts w:ascii="仿宋" w:hAnsi="仿宋" w:eastAsia="仿宋" w:cs="宋体"/>
          <w:color w:val="FF0000"/>
          <w:sz w:val="22"/>
          <w:szCs w:val="21"/>
          <w:lang w:val="zh-CN"/>
        </w:rPr>
      </w:pPr>
    </w:p>
    <w:p>
      <w:pPr>
        <w:widowControl/>
        <w:jc w:val="left"/>
      </w:pPr>
      <w:r>
        <w:rPr>
          <w:rFonts w:hint="eastAsia" w:ascii="仿宋_GB2312" w:hAnsi="仿宋" w:eastAsia="仿宋_GB2312"/>
          <w:color w:val="000000"/>
          <w:sz w:val="28"/>
          <w:szCs w:val="28"/>
        </w:rPr>
        <w:t>备注：报价为含税全包价，包括提供服务的所有费用。</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_GB2312" w:eastAsia="仿宋_GB2312" w:cs="仿宋_GB2312"/>
          <w:sz w:val="28"/>
          <w:szCs w:val="28"/>
        </w:rPr>
        <w:sectPr>
          <w:footerReference r:id="rId3" w:type="default"/>
          <w:pgSz w:w="11906" w:h="16838"/>
          <w:pgMar w:top="1928" w:right="1474" w:bottom="1984" w:left="1587" w:header="567" w:footer="567" w:gutter="0"/>
          <w:pgNumType w:fmt="numberInDash"/>
          <w:cols w:space="0" w:num="1"/>
          <w:docGrid w:type="lines" w:linePitch="315" w:charSpace="0"/>
        </w:sectPr>
      </w:pPr>
      <w:r>
        <w:rPr>
          <w:rFonts w:hint="eastAsia" w:ascii="仿宋_GB2312" w:hAnsi="仿宋" w:eastAsia="仿宋_GB2312"/>
          <w:color w:val="000000"/>
          <w:sz w:val="28"/>
          <w:szCs w:val="28"/>
        </w:rPr>
        <w:t>日期：****年**月**</w:t>
      </w:r>
      <w:r>
        <w:rPr>
          <w:rFonts w:hint="eastAsia" w:ascii="仿宋_GB2312" w:hAnsi="仿宋" w:eastAsia="仿宋_GB2312"/>
          <w:color w:val="000000"/>
          <w:sz w:val="28"/>
          <w:szCs w:val="28"/>
          <w:lang w:eastAsia="zh-CN"/>
        </w:rPr>
        <w:t>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10"/>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42799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427990"/>
                      </a:xfrm>
                      <a:prstGeom prst="rect">
                        <a:avLst/>
                      </a:prstGeom>
                      <a:noFill/>
                      <a:ln>
                        <a:noFill/>
                      </a:ln>
                    </wps:spPr>
                    <wps:txbx>
                      <w:txbxContent>
                        <w:sdt>
                          <w:sdtPr>
                            <w:id w:val="-174499309"/>
                          </w:sdtPr>
                          <w:sdtEndPr>
                            <w:rPr>
                              <w:rFonts w:hint="eastAsia" w:ascii="宋体" w:hAnsi="宋体" w:eastAsia="宋体" w:cs="宋体"/>
                              <w:sz w:val="28"/>
                              <w:szCs w:val="28"/>
                            </w:rPr>
                          </w:sdtEndPr>
                          <w:sdtContent>
                            <w:p>
                              <w:pPr>
                                <w:pStyle w:val="7"/>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4"/>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3.7pt;width:35.05pt;mso-position-horizontal:outside;mso-position-horizontal-relative:margin;mso-wrap-style:none;z-index:251660288;mso-width-relative:page;mso-height-relative:page;" filled="f" stroked="f" coordsize="21600,21600" o:gfxdata="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P5W4XRAAAAAwEAAA8AAAAAAAAA&#10;AQAgAAAAIgAAAGRycy9kb3ducmV2LnhtbFBLAQIUABQAAAAIAIdO4kDan7UF3wEAALMDAAAOAAAA&#10;AAAAAAEAIAAAACABAABkcnMvZTJvRG9jLnhtbFBLBQYAAAAABgAGAFkBAABxBQAAAAA=&#10;">
              <v:fill on="f" focussize="0,0"/>
              <v:stroke on="f"/>
              <v:imagedata o:title=""/>
              <o:lock v:ext="edit" aspectratio="f"/>
              <v:textbox inset="0mm,0mm,0mm,0mm" style="mso-fit-shape-to-text:t;">
                <w:txbxContent>
                  <w:sdt>
                    <w:sdtPr>
                      <w:id w:val="-174499309"/>
                    </w:sdtPr>
                    <w:sdtEndPr>
                      <w:rPr>
                        <w:rFonts w:hint="eastAsia" w:ascii="宋体" w:hAnsi="宋体" w:eastAsia="宋体" w:cs="宋体"/>
                        <w:sz w:val="28"/>
                        <w:szCs w:val="28"/>
                      </w:rPr>
                    </w:sdtEndPr>
                    <w:sdtContent>
                      <w:p>
                        <w:pPr>
                          <w:pStyle w:val="7"/>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4"/>
                    </w:pP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E0178"/>
    <w:rsid w:val="00162D26"/>
    <w:rsid w:val="001D6239"/>
    <w:rsid w:val="002A0A1C"/>
    <w:rsid w:val="002A70C4"/>
    <w:rsid w:val="002C71E2"/>
    <w:rsid w:val="00326531"/>
    <w:rsid w:val="003B4983"/>
    <w:rsid w:val="003F1BC3"/>
    <w:rsid w:val="004435CC"/>
    <w:rsid w:val="00474130"/>
    <w:rsid w:val="004E4B2B"/>
    <w:rsid w:val="00536018"/>
    <w:rsid w:val="0054681F"/>
    <w:rsid w:val="00547E9F"/>
    <w:rsid w:val="00566030"/>
    <w:rsid w:val="005C6DC8"/>
    <w:rsid w:val="0069274E"/>
    <w:rsid w:val="006C55AC"/>
    <w:rsid w:val="00730153"/>
    <w:rsid w:val="007B7BBF"/>
    <w:rsid w:val="008150C9"/>
    <w:rsid w:val="00850521"/>
    <w:rsid w:val="00854C04"/>
    <w:rsid w:val="008745C9"/>
    <w:rsid w:val="008B1554"/>
    <w:rsid w:val="008C65D2"/>
    <w:rsid w:val="00902B6A"/>
    <w:rsid w:val="009068B7"/>
    <w:rsid w:val="00924BC5"/>
    <w:rsid w:val="00991005"/>
    <w:rsid w:val="00996968"/>
    <w:rsid w:val="00A23005"/>
    <w:rsid w:val="00A84DA1"/>
    <w:rsid w:val="00AA39A5"/>
    <w:rsid w:val="00AD2F13"/>
    <w:rsid w:val="00AE4481"/>
    <w:rsid w:val="00BD48C2"/>
    <w:rsid w:val="00C435AD"/>
    <w:rsid w:val="00C6294B"/>
    <w:rsid w:val="00D14258"/>
    <w:rsid w:val="00D40D26"/>
    <w:rsid w:val="00DA4C85"/>
    <w:rsid w:val="00E24DD2"/>
    <w:rsid w:val="00E72466"/>
    <w:rsid w:val="00E83238"/>
    <w:rsid w:val="00EB03AE"/>
    <w:rsid w:val="00EE1DD3"/>
    <w:rsid w:val="00F812DD"/>
    <w:rsid w:val="00F83D6D"/>
    <w:rsid w:val="00FE2FC0"/>
    <w:rsid w:val="023340C8"/>
    <w:rsid w:val="03923DE0"/>
    <w:rsid w:val="05B9052D"/>
    <w:rsid w:val="09023CF6"/>
    <w:rsid w:val="0DBC0BBA"/>
    <w:rsid w:val="0E76520D"/>
    <w:rsid w:val="11230F50"/>
    <w:rsid w:val="116D239E"/>
    <w:rsid w:val="13336F28"/>
    <w:rsid w:val="13E76BAD"/>
    <w:rsid w:val="14E46C49"/>
    <w:rsid w:val="161D3B2C"/>
    <w:rsid w:val="1A4C59BC"/>
    <w:rsid w:val="24D97E4C"/>
    <w:rsid w:val="27674A93"/>
    <w:rsid w:val="2CCA7659"/>
    <w:rsid w:val="2CCB69AD"/>
    <w:rsid w:val="2F6D7037"/>
    <w:rsid w:val="320D5DE6"/>
    <w:rsid w:val="324F79A0"/>
    <w:rsid w:val="362A0508"/>
    <w:rsid w:val="371E780B"/>
    <w:rsid w:val="372E04CB"/>
    <w:rsid w:val="3795122B"/>
    <w:rsid w:val="390F70E1"/>
    <w:rsid w:val="39A36B4D"/>
    <w:rsid w:val="39E92488"/>
    <w:rsid w:val="3F1B3178"/>
    <w:rsid w:val="40EE65D6"/>
    <w:rsid w:val="41F8770C"/>
    <w:rsid w:val="420B6500"/>
    <w:rsid w:val="455F7AA2"/>
    <w:rsid w:val="45E16709"/>
    <w:rsid w:val="48A47285"/>
    <w:rsid w:val="507F3EA0"/>
    <w:rsid w:val="50B769E4"/>
    <w:rsid w:val="52DE290D"/>
    <w:rsid w:val="5507776F"/>
    <w:rsid w:val="5B290B78"/>
    <w:rsid w:val="5E5D0BCB"/>
    <w:rsid w:val="604E46AE"/>
    <w:rsid w:val="60D5619C"/>
    <w:rsid w:val="66533C9C"/>
    <w:rsid w:val="66A13F98"/>
    <w:rsid w:val="68925915"/>
    <w:rsid w:val="694B3E8B"/>
    <w:rsid w:val="6C4038DA"/>
    <w:rsid w:val="6E1634E0"/>
    <w:rsid w:val="7B851309"/>
    <w:rsid w:val="7D50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tLeast"/>
      <w:outlineLvl w:val="2"/>
    </w:pPr>
    <w:rPr>
      <w:b/>
      <w:bCs/>
      <w:szCs w:val="32"/>
    </w:rPr>
  </w:style>
  <w:style w:type="paragraph" w:styleId="3">
    <w:name w:val="heading 4"/>
    <w:basedOn w:val="1"/>
    <w:next w:val="1"/>
    <w:link w:val="13"/>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Indent 2"/>
    <w:basedOn w:val="1"/>
    <w:link w:val="14"/>
    <w:qFormat/>
    <w:uiPriority w:val="0"/>
    <w:pPr>
      <w:spacing w:after="120" w:line="480" w:lineRule="auto"/>
      <w:ind w:left="420" w:leftChars="200"/>
    </w:pPr>
  </w:style>
  <w:style w:type="paragraph" w:styleId="6">
    <w:name w:val="Balloon Text"/>
    <w:basedOn w:val="1"/>
    <w:link w:val="16"/>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9"/>
    <w:link w:val="8"/>
    <w:qFormat/>
    <w:uiPriority w:val="99"/>
    <w:rPr>
      <w:sz w:val="18"/>
      <w:szCs w:val="18"/>
    </w:rPr>
  </w:style>
  <w:style w:type="character" w:customStyle="1" w:styleId="12">
    <w:name w:val="页脚 Char"/>
    <w:basedOn w:val="9"/>
    <w:link w:val="7"/>
    <w:qFormat/>
    <w:uiPriority w:val="99"/>
    <w:rPr>
      <w:sz w:val="18"/>
      <w:szCs w:val="18"/>
    </w:rPr>
  </w:style>
  <w:style w:type="character" w:customStyle="1" w:styleId="13">
    <w:name w:val="标题 4 Char"/>
    <w:basedOn w:val="9"/>
    <w:link w:val="3"/>
    <w:qFormat/>
    <w:uiPriority w:val="9"/>
    <w:rPr>
      <w:rFonts w:ascii="Cambria" w:hAnsi="Cambria"/>
      <w:b/>
      <w:kern w:val="0"/>
      <w:sz w:val="28"/>
      <w:szCs w:val="20"/>
    </w:rPr>
  </w:style>
  <w:style w:type="character" w:customStyle="1" w:styleId="14">
    <w:name w:val="正文文本缩进 2 Char"/>
    <w:basedOn w:val="9"/>
    <w:link w:val="5"/>
    <w:qFormat/>
    <w:uiPriority w:val="0"/>
  </w:style>
  <w:style w:type="paragraph" w:customStyle="1" w:styleId="15">
    <w:name w:val="表格"/>
    <w:basedOn w:val="1"/>
    <w:qFormat/>
    <w:uiPriority w:val="0"/>
    <w:pPr>
      <w:jc w:val="center"/>
    </w:pPr>
    <w:rPr>
      <w:rFonts w:ascii="仿宋" w:hAnsi="仿宋" w:eastAsia="仿宋"/>
      <w:szCs w:val="21"/>
    </w:rPr>
  </w:style>
  <w:style w:type="character" w:customStyle="1" w:styleId="16">
    <w:name w:val="批注框文本 Char"/>
    <w:basedOn w:val="9"/>
    <w:link w:val="6"/>
    <w:semiHidden/>
    <w:qFormat/>
    <w:uiPriority w:val="99"/>
    <w:rPr>
      <w:kern w:val="2"/>
      <w:sz w:val="18"/>
      <w:szCs w:val="18"/>
    </w:rPr>
  </w:style>
  <w:style w:type="character" w:customStyle="1" w:styleId="17">
    <w:name w:val="font71"/>
    <w:basedOn w:val="9"/>
    <w:qFormat/>
    <w:uiPriority w:val="0"/>
    <w:rPr>
      <w:rFonts w:hint="eastAsia" w:ascii="宋体" w:hAnsi="宋体" w:eastAsia="宋体" w:cs="宋体"/>
      <w:b/>
      <w:bCs/>
      <w:color w:val="000000"/>
      <w:sz w:val="22"/>
      <w:szCs w:val="22"/>
      <w:u w:val="none"/>
    </w:rPr>
  </w:style>
  <w:style w:type="character" w:customStyle="1" w:styleId="18">
    <w:name w:val="font31"/>
    <w:basedOn w:val="9"/>
    <w:qFormat/>
    <w:uiPriority w:val="0"/>
    <w:rPr>
      <w:rFonts w:hint="eastAsia" w:ascii="微软雅黑" w:hAnsi="微软雅黑" w:eastAsia="微软雅黑" w:cs="微软雅黑"/>
      <w:color w:val="000000"/>
      <w:sz w:val="20"/>
      <w:szCs w:val="20"/>
      <w:u w:val="none"/>
    </w:rPr>
  </w:style>
  <w:style w:type="character" w:customStyle="1" w:styleId="19">
    <w:name w:val="font81"/>
    <w:basedOn w:val="9"/>
    <w:qFormat/>
    <w:uiPriority w:val="0"/>
    <w:rPr>
      <w:rFonts w:hint="eastAsia" w:ascii="宋体" w:hAnsi="宋体" w:eastAsia="宋体" w:cs="宋体"/>
      <w:color w:val="000000"/>
      <w:sz w:val="20"/>
      <w:szCs w:val="20"/>
      <w:u w:val="none"/>
    </w:rPr>
  </w:style>
  <w:style w:type="character" w:customStyle="1" w:styleId="20">
    <w:name w:val="font61"/>
    <w:basedOn w:val="9"/>
    <w:qFormat/>
    <w:uiPriority w:val="0"/>
    <w:rPr>
      <w:rFonts w:hint="eastAsia" w:ascii="宋体" w:hAnsi="宋体" w:eastAsia="宋体" w:cs="宋体"/>
      <w:b/>
      <w:bCs/>
      <w:color w:val="000000"/>
      <w:sz w:val="24"/>
      <w:szCs w:val="24"/>
      <w:u w:val="none"/>
    </w:rPr>
  </w:style>
  <w:style w:type="character" w:customStyle="1" w:styleId="21">
    <w:name w:val="font01"/>
    <w:basedOn w:val="9"/>
    <w:qFormat/>
    <w:uiPriority w:val="0"/>
    <w:rPr>
      <w:rFonts w:hint="eastAsia" w:ascii="宋体" w:hAnsi="宋体" w:eastAsia="宋体" w:cs="宋体"/>
      <w:color w:val="000000"/>
      <w:sz w:val="24"/>
      <w:szCs w:val="24"/>
      <w:u w:val="none"/>
    </w:rPr>
  </w:style>
  <w:style w:type="character" w:customStyle="1" w:styleId="22">
    <w:name w:val="font11"/>
    <w:basedOn w:val="9"/>
    <w:qFormat/>
    <w:uiPriority w:val="0"/>
    <w:rPr>
      <w:rFonts w:hint="eastAsia" w:ascii="宋体" w:hAnsi="宋体" w:eastAsia="宋体" w:cs="宋体"/>
      <w:b/>
      <w:bCs/>
      <w:color w:val="000000"/>
      <w:sz w:val="24"/>
      <w:szCs w:val="24"/>
      <w:u w:val="none"/>
    </w:rPr>
  </w:style>
  <w:style w:type="character" w:customStyle="1" w:styleId="23">
    <w:name w:val="font21"/>
    <w:basedOn w:val="9"/>
    <w:qFormat/>
    <w:uiPriority w:val="0"/>
    <w:rPr>
      <w:rFonts w:ascii="微软雅黑" w:hAnsi="微软雅黑" w:eastAsia="微软雅黑" w:cs="微软雅黑"/>
      <w:color w:val="000000"/>
      <w:sz w:val="20"/>
      <w:szCs w:val="20"/>
      <w:u w:val="none"/>
    </w:rPr>
  </w:style>
  <w:style w:type="paragraph" w:customStyle="1" w:styleId="24">
    <w:name w:val="Default"/>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25">
    <w:name w:val="正式正文"/>
    <w:basedOn w:val="1"/>
    <w:qFormat/>
    <w:uiPriority w:val="0"/>
    <w:pPr>
      <w:ind w:firstLine="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906</Words>
  <Characters>5166</Characters>
  <Lines>43</Lines>
  <Paragraphs>12</Paragraphs>
  <TotalTime>31</TotalTime>
  <ScaleCrop>false</ScaleCrop>
  <LinksUpToDate>false</LinksUpToDate>
  <CharactersWithSpaces>6060</CharactersWithSpaces>
  <Application>WPS Office_11.8.2.7978_F1E327BC-269C-435d-A152-05C5408002CA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2023-10-25T02:09:00Z</dcterms:created>
  <dc:creator>张小彤</dc:creator>
  <cp:lastModifiedBy>祁玉峰</cp:lastModifiedBy>
  <cp:lastPrinted>2024-03-04T06:28:40Z</cp:lastPrinted>
  <dcterms:modified xsi:type="dcterms:W3CDTF">2024-03-04T06:29:13Z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2EBE3A3E295C4D7DB71180B00FDC88BA_13</vt:lpwstr>
  </property>
</Properties>
</file>