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青钢片区幼儿园建设工程</w:t>
      </w:r>
    </w:p>
    <w:p>
      <w:pPr>
        <w:adjustRightInd w:val="0"/>
        <w:snapToGrid w:val="0"/>
        <w:spacing w:line="560" w:lineRule="exact"/>
        <w:jc w:val="center"/>
        <w:rPr>
          <w:rFonts w:ascii="方正小标宋_GBK" w:eastAsia="方正小标宋_GBK"/>
          <w:sz w:val="44"/>
          <w:szCs w:val="44"/>
        </w:rPr>
      </w:pPr>
      <w:r>
        <w:rPr>
          <w:rFonts w:hint="eastAsia" w:ascii="方正小标宋_GBK" w:hAnsi="仿宋" w:eastAsia="方正小标宋_GBK" w:cs="仿宋"/>
          <w:sz w:val="44"/>
          <w:szCs w:val="44"/>
        </w:rPr>
        <w:t>水土保持方案编制询价</w:t>
      </w:r>
      <w:r>
        <w:rPr>
          <w:rFonts w:hint="eastAsia" w:ascii="方正小标宋_GBK" w:eastAsia="方正小标宋_GBK"/>
          <w:sz w:val="44"/>
          <w:szCs w:val="44"/>
        </w:rPr>
        <w:t>采购公告</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1.采购单位：青岛城投新城开发建设有限公司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w:t>
      </w:r>
      <w:r>
        <w:rPr>
          <w:rFonts w:hint="eastAsia" w:ascii="仿宋_GB2312" w:hAnsi="宋体" w:eastAsia="仿宋_GB2312" w:cs="宋体"/>
          <w:kern w:val="0"/>
          <w:sz w:val="32"/>
          <w:szCs w:val="32"/>
          <w:lang w:val="zh-CN"/>
        </w:rPr>
        <w:t>青钢片区幼儿园建设工程水土保持</w:t>
      </w:r>
      <w:r>
        <w:rPr>
          <w:rFonts w:hint="eastAsia" w:ascii="仿宋_GB2312" w:hAnsi="仿宋_GB2312" w:eastAsia="仿宋_GB2312" w:cs="仿宋_GB2312"/>
          <w:kern w:val="0"/>
          <w:sz w:val="32"/>
          <w:szCs w:val="32"/>
        </w:rPr>
        <w:t>方案编制</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3.工程概况：</w:t>
      </w:r>
      <w:r>
        <w:rPr>
          <w:rFonts w:hint="eastAsia" w:ascii="仿宋_GB2312" w:hAnsi="宋体" w:eastAsia="仿宋_GB2312" w:cs="宋体"/>
          <w:kern w:val="0"/>
          <w:sz w:val="32"/>
          <w:szCs w:val="32"/>
          <w:lang w:val="zh-CN"/>
        </w:rPr>
        <w:t>项目总占地面积16.3亩;新建幼儿园一座，共十五班;项目占地面积约10865.1平方米，总建设面积约7605.5平方米，配置幼儿园综合体、多功能活动室、幼儿教师餐厅、跑道、活动场地等设施。总投资约5319.92万元，其中主体土建投资</w:t>
      </w:r>
      <w:r>
        <w:rPr>
          <w:rFonts w:hint="eastAsia" w:ascii="仿宋_GB2312" w:hAnsi="宋体" w:eastAsia="仿宋_GB2312" w:cs="宋体"/>
          <w:kern w:val="0"/>
          <w:sz w:val="32"/>
          <w:szCs w:val="32"/>
        </w:rPr>
        <w:t>2692.11</w:t>
      </w:r>
      <w:r>
        <w:rPr>
          <w:rFonts w:hint="eastAsia" w:ascii="仿宋_GB2312" w:hAnsi="宋体" w:eastAsia="仿宋_GB2312" w:cs="宋体"/>
          <w:kern w:val="0"/>
          <w:sz w:val="32"/>
          <w:szCs w:val="32"/>
          <w:lang w:val="zh-CN"/>
        </w:rPr>
        <w:t>万元。</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4.服务内容：</w:t>
      </w:r>
      <w:r>
        <w:rPr>
          <w:rFonts w:hint="eastAsia" w:ascii="仿宋_GB2312" w:hAnsi="宋体" w:eastAsia="仿宋_GB2312" w:cs="宋体"/>
          <w:kern w:val="0"/>
          <w:sz w:val="32"/>
          <w:szCs w:val="32"/>
          <w:lang w:val="zh-CN"/>
        </w:rPr>
        <w:t>青钢片区幼儿园建设工程水土保持方案报告表编制</w:t>
      </w:r>
      <w:r>
        <w:rPr>
          <w:rFonts w:hint="eastAsia" w:ascii="仿宋_GB2312" w:hAnsi="仿宋_GB2312" w:eastAsia="仿宋_GB2312" w:cs="仿宋_GB2312"/>
          <w:kern w:val="0"/>
          <w:sz w:val="32"/>
          <w:szCs w:val="32"/>
        </w:rPr>
        <w:t>。</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5.服务地点：</w:t>
      </w:r>
      <w:r>
        <w:rPr>
          <w:rFonts w:hint="eastAsia" w:ascii="仿宋_GB2312" w:hAnsi="宋体" w:eastAsia="仿宋_GB2312" w:cs="宋体"/>
          <w:kern w:val="0"/>
          <w:sz w:val="32"/>
          <w:szCs w:val="32"/>
          <w:lang w:val="zh-CN"/>
        </w:rPr>
        <w:t>青岛市李沧区楼山二支路以西、创业路以北。</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6.采购预算：29398元</w:t>
      </w:r>
      <w:r>
        <w:rPr>
          <w:rFonts w:ascii="仿宋_GB2312" w:eastAsia="仿宋_GB2312"/>
          <w:sz w:val="32"/>
          <w:szCs w:val="32"/>
        </w:rPr>
        <w:t xml:space="preserve">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7.中标选取方式：合理低价中标,如出现最低报价相同，选择有效最低报价单位所提供业绩中单一合同的合同额最高者作为中标单位。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w:t>
      </w:r>
      <w:r>
        <w:rPr>
          <w:rFonts w:hint="eastAsia" w:ascii="仿宋_GB2312" w:eastAsia="仿宋_GB2312"/>
          <w:sz w:val="32"/>
          <w:szCs w:val="32"/>
        </w:rPr>
        <w:t>在中华人民共和国境内注册，具有独立法人资格；</w:t>
      </w:r>
    </w:p>
    <w:p>
      <w:pPr>
        <w:adjustRightInd w:val="0"/>
        <w:snapToGrid w:val="0"/>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kern w:val="0"/>
          <w:sz w:val="32"/>
          <w:szCs w:val="32"/>
        </w:rPr>
        <w:t>2.近三年（2021年1月1日至今）</w:t>
      </w:r>
      <w:r>
        <w:rPr>
          <w:rFonts w:hint="eastAsia" w:ascii="仿宋_GB2312" w:hAnsi="宋体" w:eastAsia="仿宋_GB2312" w:cs="宋体"/>
          <w:kern w:val="0"/>
          <w:sz w:val="32"/>
          <w:szCs w:val="32"/>
          <w:lang w:val="zh-CN"/>
        </w:rPr>
        <w:t>承接过水土保持项目同类业绩。</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spacing w:line="560" w:lineRule="exact"/>
        <w:ind w:firstLine="640" w:firstLineChars="200"/>
        <w:rPr>
          <w:lang w:val="zh-CN"/>
        </w:rPr>
      </w:pPr>
      <w:r>
        <w:rPr>
          <w:rFonts w:hint="eastAsia" w:ascii="仿宋_GB2312" w:hAnsi="宋体" w:eastAsia="仿宋_GB2312" w:cs="宋体"/>
          <w:kern w:val="0"/>
          <w:sz w:val="32"/>
          <w:szCs w:val="32"/>
          <w:lang w:val="zh-CN"/>
        </w:rPr>
        <w:t>1.服务要求</w:t>
      </w:r>
    </w:p>
    <w:p>
      <w:pPr>
        <w:spacing w:line="560"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按照法律法规等并结合国家、山东省、青岛市有关建设项目水土保持方案编制规范编制《青钢片区幼儿园建设工程水土保持方案报告表》，报告表应当包含下列主要内容：项目概况；项目水土流失分析与预测；水土保持措施；水土保持投资概算及效益分析；水土保持管理。编制完成的水土保持方案报告表需提报相关主管部门审批，根据专家评审意见调整完善方案，并通过专家评审，并取得相关部门批复。服务单位须通过“全国投资项目在线审批监管平台”备案，备案专业应包括建筑工程或水利水电专业咨询业务。</w:t>
      </w:r>
    </w:p>
    <w:p>
      <w:pPr>
        <w:autoSpaceDE w:val="0"/>
        <w:autoSpaceDN w:val="0"/>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2.技术要求</w:t>
      </w:r>
    </w:p>
    <w:p>
      <w:pPr>
        <w:autoSpaceDE w:val="0"/>
        <w:autoSpaceDN w:val="0"/>
        <w:adjustRightInd w:val="0"/>
        <w:spacing w:line="560" w:lineRule="exact"/>
        <w:ind w:firstLine="640" w:firstLineChars="200"/>
        <w:rPr>
          <w:rFonts w:ascii="仿宋_GB2312" w:hAnsi="宋体" w:eastAsia="仿宋_GB2312" w:cs="宋体"/>
          <w:kern w:val="0"/>
          <w:sz w:val="32"/>
          <w:szCs w:val="32"/>
        </w:rPr>
      </w:pPr>
      <w:r>
        <w:rPr>
          <w:rFonts w:hint="eastAsia" w:ascii="仿宋_GB2312" w:eastAsia="仿宋_GB2312" w:cs="宋体"/>
          <w:kern w:val="0"/>
          <w:sz w:val="32"/>
          <w:szCs w:val="32"/>
        </w:rPr>
        <w:t>水土保持方案</w:t>
      </w:r>
      <w:r>
        <w:rPr>
          <w:rFonts w:hint="eastAsia" w:ascii="仿宋_GB2312" w:hAnsi="宋体" w:eastAsia="仿宋_GB2312" w:cs="宋体"/>
          <w:kern w:val="0"/>
          <w:sz w:val="32"/>
          <w:szCs w:val="32"/>
          <w:lang w:val="zh-CN"/>
        </w:rPr>
        <w:t>报告表编制应执行以下技术标准（包括但不限于以下内容）：《中华人民共和国水土保持法》、《山东省水土保持条例》、《生产建设</w:t>
      </w:r>
      <w:r>
        <w:rPr>
          <w:rFonts w:hint="eastAsia" w:ascii="仿宋_GB2312" w:eastAsia="仿宋_GB2312" w:cs="宋体"/>
          <w:kern w:val="0"/>
          <w:sz w:val="32"/>
          <w:szCs w:val="32"/>
        </w:rPr>
        <w:t>项目水土保持技术标准》（GB50433-2018）、《生产建设项目水土流失防治标准》（GB/T50434-2018）、《生产建设项目土壤流失量测算导则》（SL773-2018）、《水利部关于进一步深化“放管服”改革全面加强水土保持监管的意见》（水保〔2019〕160号）、《山东</w:t>
      </w:r>
      <w:r>
        <w:rPr>
          <w:rFonts w:hint="eastAsia" w:ascii="仿宋_GB2312" w:hAnsi="宋体" w:eastAsia="仿宋_GB2312" w:cs="宋体"/>
          <w:kern w:val="0"/>
          <w:sz w:val="32"/>
          <w:szCs w:val="32"/>
        </w:rPr>
        <w:t>省生产建设项目水土保持方案编报审批管理办法》（鲁水规字〔2020〕4号）等法律法规。</w:t>
      </w:r>
    </w:p>
    <w:p>
      <w:pPr>
        <w:autoSpaceDE w:val="0"/>
        <w:autoSpaceDN w:val="0"/>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3.成果要求：编制完成的水土保持方案报告表需提报相关主管部门审批，根据专家评审意见调整完善方案，通过专家评审，并取得相关部门批复。须向采购单位提供通过相关部门审查的《</w:t>
      </w:r>
      <w:r>
        <w:rPr>
          <w:rFonts w:hint="eastAsia" w:ascii="仿宋_GB2312" w:hAnsi="宋体" w:eastAsia="仿宋_GB2312" w:cs="宋体"/>
          <w:kern w:val="0"/>
          <w:sz w:val="32"/>
          <w:szCs w:val="32"/>
          <w:lang w:val="zh-CN"/>
        </w:rPr>
        <w:t>青钢片区幼儿园建设工程</w:t>
      </w:r>
      <w:r>
        <w:rPr>
          <w:rFonts w:hint="eastAsia" w:ascii="仿宋_GB2312" w:hAnsi="宋体" w:eastAsia="仿宋_GB2312" w:cs="宋体"/>
          <w:kern w:val="0"/>
          <w:sz w:val="32"/>
          <w:szCs w:val="32"/>
        </w:rPr>
        <w:t>水土保持方案报告表》，并以书面形式向采购单位反馈评价结论、建议及水土保持方案报告表审查意见，协助其落实。</w:t>
      </w:r>
    </w:p>
    <w:p>
      <w:pPr>
        <w:autoSpaceDE w:val="0"/>
        <w:autoSpaceDN w:val="0"/>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w:t>
      </w:r>
      <w:r>
        <w:rPr>
          <w:rFonts w:hint="eastAsia" w:ascii="仿宋_GB2312" w:hAnsi="宋体" w:eastAsia="仿宋_GB2312" w:cs="宋体"/>
          <w:kern w:val="0"/>
          <w:sz w:val="32"/>
          <w:szCs w:val="32"/>
          <w:lang w:val="zh-CN"/>
        </w:rPr>
        <w:t>.人员要求：项目负责人1</w:t>
      </w:r>
      <w:r>
        <w:rPr>
          <w:rFonts w:hint="eastAsia" w:ascii="仿宋_GB2312" w:hAnsi="宋体" w:eastAsia="仿宋_GB2312" w:cs="宋体"/>
          <w:kern w:val="0"/>
          <w:sz w:val="32"/>
          <w:szCs w:val="32"/>
        </w:rPr>
        <w:t>名，应具有水利工程或建筑工程等相关专业</w:t>
      </w:r>
      <w:bookmarkStart w:id="0" w:name="_Hlk121826732"/>
      <w:r>
        <w:rPr>
          <w:rFonts w:hint="eastAsia" w:ascii="仿宋_GB2312" w:hAnsi="宋体" w:eastAsia="仿宋_GB2312" w:cs="宋体"/>
          <w:kern w:val="0"/>
          <w:sz w:val="32"/>
          <w:szCs w:val="32"/>
        </w:rPr>
        <w:t>高级及以上职称</w:t>
      </w:r>
      <w:bookmarkEnd w:id="0"/>
      <w:r>
        <w:rPr>
          <w:rFonts w:hint="eastAsia" w:ascii="仿宋_GB2312" w:hAnsi="宋体" w:eastAsia="仿宋_GB2312" w:cs="宋体"/>
          <w:kern w:val="0"/>
          <w:sz w:val="32"/>
          <w:szCs w:val="32"/>
        </w:rPr>
        <w:t>；其他技术人员不少于2名，</w:t>
      </w:r>
      <w:r>
        <w:rPr>
          <w:rFonts w:hint="eastAsia" w:ascii="仿宋_GB2312" w:hAnsi="宋体" w:eastAsia="仿宋_GB2312" w:cs="宋体"/>
          <w:kern w:val="0"/>
          <w:sz w:val="32"/>
          <w:szCs w:val="32"/>
          <w:lang w:val="zh-CN"/>
        </w:rPr>
        <w:t>应具有工程类相关专业</w:t>
      </w:r>
      <w:r>
        <w:rPr>
          <w:rFonts w:hint="eastAsia" w:ascii="仿宋_GB2312" w:hAnsi="宋体" w:eastAsia="仿宋_GB2312" w:cs="宋体"/>
          <w:kern w:val="0"/>
          <w:sz w:val="32"/>
          <w:szCs w:val="32"/>
        </w:rPr>
        <w:t>中级及以上职称</w:t>
      </w:r>
      <w:r>
        <w:rPr>
          <w:rFonts w:hint="eastAsia" w:ascii="仿宋_GB2312" w:hAnsi="宋体" w:eastAsia="仿宋_GB2312" w:cs="宋体"/>
          <w:kern w:val="0"/>
          <w:sz w:val="32"/>
          <w:szCs w:val="32"/>
          <w:lang w:val="zh-CN"/>
        </w:rPr>
        <w:t>。</w:t>
      </w:r>
    </w:p>
    <w:p>
      <w:pPr>
        <w:widowControl/>
        <w:spacing w:line="560" w:lineRule="exact"/>
        <w:ind w:firstLine="640" w:firstLineChars="200"/>
        <w:jc w:val="left"/>
        <w:rPr>
          <w:rFonts w:ascii="仿宋_GB2312" w:hAnsi="宋体" w:eastAsia="仿宋_GB2312" w:cs="宋体"/>
          <w:color w:val="FF0000"/>
          <w:kern w:val="0"/>
          <w:sz w:val="32"/>
          <w:szCs w:val="32"/>
          <w:lang w:val="zh-CN"/>
        </w:rPr>
      </w:pP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.服务期限：</w:t>
      </w:r>
      <w:r>
        <w:rPr>
          <w:rFonts w:hint="eastAsia" w:ascii="仿宋_GB2312" w:hAnsi="宋体" w:eastAsia="仿宋_GB2312" w:cs="宋体"/>
          <w:kern w:val="0"/>
          <w:sz w:val="32"/>
          <w:szCs w:val="32"/>
          <w:lang w:val="zh-CN"/>
        </w:rPr>
        <w:t>合同签订后，20日内完成报告编制，45日内取得相关部门批复。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1.报价应为含税全包价费用，包括提供服务的所有费用。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2.投标报价不得高于采购预算，否则投标报价无效。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3.报价文件资料包括：营业执照（复印件）</w:t>
      </w:r>
      <w:r>
        <w:rPr>
          <w:rFonts w:hint="eastAsia" w:ascii="仿宋_GB2312" w:hAnsi="宋体" w:eastAsia="仿宋_GB2312" w:cs="宋体"/>
          <w:kern w:val="0"/>
          <w:sz w:val="32"/>
          <w:szCs w:val="32"/>
        </w:rPr>
        <w:t>、全国投资项目在线审批监管平台备案证明（复印件）</w:t>
      </w:r>
      <w:r>
        <w:rPr>
          <w:rFonts w:hint="eastAsia" w:ascii="仿宋_GB2312" w:eastAsia="仿宋_GB2312"/>
          <w:sz w:val="32"/>
          <w:szCs w:val="32"/>
        </w:rPr>
        <w:t>、法人身份证明或授权委托书（附件1）、同类合同业绩（复印件）、报价承诺函（附件2）、报价单（附件3）、服务人员配备表（附件4）及人员身份证（复印件）、专业技术资格证书（复印件）、社保证明材料等。报价文件包括但不限于以上资料，报价文件一式三份需加盖公章并装订成册(无需胶装)。报价文件不满足询价采购公告要求的视为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4.上述第3条中要求的材料须放入一个密封件中提交，密封件包装袋封口处加盖单位公章。</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1.报价截止时间：2024年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w:t>
      </w:r>
      <w:r>
        <w:rPr>
          <w:rFonts w:hint="eastAsia" w:ascii="仿宋_GB2312" w:eastAsia="仿宋_GB2312"/>
          <w:sz w:val="32"/>
          <w:szCs w:val="32"/>
          <w:lang w:val="en-US" w:eastAsia="zh-CN"/>
        </w:rPr>
        <w:t>15</w:t>
      </w:r>
      <w:r>
        <w:rPr>
          <w:rFonts w:hint="eastAsia" w:ascii="仿宋_GB2312" w:eastAsia="仿宋_GB2312"/>
          <w:sz w:val="32"/>
          <w:szCs w:val="32"/>
        </w:rPr>
        <w:t>点整。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2.报价形式：报价文件可采取邮寄或现场递交的形式。</w:t>
      </w:r>
    </w:p>
    <w:p>
      <w:pPr>
        <w:widowControl/>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3.送达地点：</w:t>
      </w:r>
      <w:r>
        <w:rPr>
          <w:rFonts w:hint="eastAsia" w:ascii="仿宋_GB2312" w:hAnsi="宋体" w:eastAsia="仿宋_GB2312" w:cs="宋体"/>
          <w:kern w:val="0"/>
          <w:sz w:val="32"/>
          <w:szCs w:val="32"/>
        </w:rPr>
        <w:t>青岛市崂山区香港东路195号上实中心T2办公楼6楼</w:t>
      </w:r>
      <w:r>
        <w:rPr>
          <w:rFonts w:hint="eastAsia" w:ascii="仿宋_GB2312" w:eastAsia="仿宋_GB2312"/>
          <w:sz w:val="32"/>
          <w:szCs w:val="32"/>
        </w:rPr>
        <w:t>，逾期提交或者未送达指定地点的报价文件不予接受。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本项目公告发出之日起至报价截止时间止。</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联系人:尹经理      电话：0532-67781795</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附件：1.法人身份证明或授权委托书</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2.报价承诺函</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4.服务人员配备表</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青岛城投新城开发建设有限公司   </w:t>
      </w:r>
    </w:p>
    <w:p>
      <w:pPr>
        <w:wordWrap w:val="0"/>
        <w:adjustRightInd w:val="0"/>
        <w:snapToGrid w:val="0"/>
        <w:spacing w:line="560" w:lineRule="exact"/>
        <w:ind w:firstLine="640" w:firstLineChars="200"/>
        <w:jc w:val="right"/>
        <w:rPr>
          <w:rFonts w:ascii="仿宋" w:hAnsi="仿宋" w:eastAsia="仿宋" w:cs="仿宋"/>
          <w:sz w:val="30"/>
          <w:szCs w:val="30"/>
        </w:rPr>
      </w:pPr>
      <w:r>
        <w:rPr>
          <w:rFonts w:hint="eastAsia" w:ascii="仿宋_GB2312" w:hAnsi="仿宋_GB2312" w:eastAsia="仿宋_GB2312" w:cs="仿宋_GB2312"/>
          <w:kern w:val="0"/>
          <w:sz w:val="32"/>
          <w:szCs w:val="32"/>
        </w:rPr>
        <w:t>2024年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 xml:space="preserve">日         </w:t>
      </w: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2"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4"/>
      </w:pPr>
    </w:p>
    <w:p>
      <w:pPr>
        <w:pStyle w:val="4"/>
      </w:pPr>
    </w:p>
    <w:p>
      <w:pPr>
        <w:pStyle w:val="4"/>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3"/>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青岛城投新城开发建设有限公司</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rPr>
        <w:t>青钢片区幼儿园建设工程水土保持方案编制</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4"/>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附件3.报价单</w:t>
      </w:r>
    </w:p>
    <w:p>
      <w:pPr>
        <w:snapToGrid w:val="0"/>
        <w:spacing w:line="560" w:lineRule="exact"/>
        <w:jc w:val="center"/>
        <w:rPr>
          <w:sz w:val="20"/>
          <w:szCs w:val="21"/>
        </w:rPr>
      </w:pPr>
      <w:r>
        <w:rPr>
          <w:rFonts w:hint="eastAsia" w:asciiTheme="majorEastAsia" w:hAnsiTheme="majorEastAsia" w:eastAsiaTheme="majorEastAsia" w:cstheme="majorEastAsia"/>
          <w:b/>
          <w:bCs/>
          <w:sz w:val="40"/>
          <w:szCs w:val="40"/>
        </w:rPr>
        <w:t>报价单</w:t>
      </w:r>
    </w:p>
    <w:tbl>
      <w:tblPr>
        <w:tblStyle w:val="8"/>
        <w:tblW w:w="852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419"/>
        <w:gridCol w:w="1416"/>
        <w:gridCol w:w="2836"/>
        <w:gridCol w:w="992"/>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581"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序号</w:t>
            </w:r>
          </w:p>
        </w:tc>
        <w:tc>
          <w:tcPr>
            <w:tcW w:w="1419"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服务内容</w:t>
            </w:r>
          </w:p>
        </w:tc>
        <w:tc>
          <w:tcPr>
            <w:tcW w:w="1416" w:type="dxa"/>
            <w:vAlign w:val="center"/>
          </w:tcPr>
          <w:p>
            <w:pPr>
              <w:autoSpaceDE w:val="0"/>
              <w:autoSpaceDN w:val="0"/>
              <w:adjustRightInd w:val="0"/>
              <w:spacing w:line="360" w:lineRule="auto"/>
              <w:jc w:val="center"/>
              <w:rPr>
                <w:rFonts w:eastAsia="仿宋"/>
                <w:color w:val="auto"/>
                <w:sz w:val="24"/>
              </w:rPr>
            </w:pPr>
            <w:r>
              <w:rPr>
                <w:rFonts w:hint="eastAsia" w:ascii="仿宋" w:eastAsia="仿宋" w:cs="仿宋"/>
                <w:color w:val="auto"/>
                <w:sz w:val="24"/>
                <w:lang w:val="zh-CN"/>
              </w:rPr>
              <w:t>基价（万元）</w:t>
            </w:r>
          </w:p>
        </w:tc>
        <w:tc>
          <w:tcPr>
            <w:tcW w:w="2836" w:type="dxa"/>
            <w:vAlign w:val="center"/>
          </w:tcPr>
          <w:p>
            <w:pPr>
              <w:autoSpaceDE w:val="0"/>
              <w:autoSpaceDN w:val="0"/>
              <w:adjustRightInd w:val="0"/>
              <w:spacing w:line="360" w:lineRule="auto"/>
              <w:jc w:val="center"/>
              <w:rPr>
                <w:rFonts w:ascii="仿宋" w:eastAsia="仿宋" w:cs="仿宋"/>
                <w:color w:val="auto"/>
                <w:sz w:val="24"/>
                <w:lang w:val="zh-CN"/>
              </w:rPr>
            </w:pPr>
            <w:r>
              <w:rPr>
                <w:rFonts w:hint="eastAsia" w:ascii="仿宋" w:eastAsia="仿宋" w:cs="仿宋"/>
                <w:color w:val="auto"/>
                <w:sz w:val="24"/>
                <w:lang w:val="zh-CN"/>
              </w:rPr>
              <w:t>计算公式</w:t>
            </w:r>
          </w:p>
        </w:tc>
        <w:tc>
          <w:tcPr>
            <w:tcW w:w="992"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报价折扣</w:t>
            </w:r>
          </w:p>
        </w:tc>
        <w:tc>
          <w:tcPr>
            <w:tcW w:w="1277"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备注</w:t>
            </w:r>
          </w:p>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（取费依据、收费标准等）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exact"/>
        </w:trPr>
        <w:tc>
          <w:tcPr>
            <w:tcW w:w="581"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1</w:t>
            </w:r>
          </w:p>
        </w:tc>
        <w:tc>
          <w:tcPr>
            <w:tcW w:w="1419"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青钢片区幼儿园建设工程水土保持方案编制</w:t>
            </w:r>
          </w:p>
        </w:tc>
        <w:tc>
          <w:tcPr>
            <w:tcW w:w="1416" w:type="dxa"/>
            <w:vAlign w:val="center"/>
          </w:tcPr>
          <w:p>
            <w:pPr>
              <w:autoSpaceDE w:val="0"/>
              <w:autoSpaceDN w:val="0"/>
              <w:adjustRightInd w:val="0"/>
              <w:spacing w:line="360" w:lineRule="auto"/>
              <w:jc w:val="center"/>
              <w:rPr>
                <w:rFonts w:eastAsia="仿宋"/>
                <w:color w:val="auto"/>
                <w:sz w:val="24"/>
              </w:rPr>
            </w:pPr>
            <w:r>
              <w:rPr>
                <w:rFonts w:ascii="仿宋" w:eastAsia="仿宋" w:cs="仿宋"/>
                <w:color w:val="auto"/>
                <w:sz w:val="24"/>
                <w:lang w:val="zh-CN"/>
              </w:rPr>
              <w:t>2692.11</w:t>
            </w:r>
          </w:p>
        </w:tc>
        <w:tc>
          <w:tcPr>
            <w:tcW w:w="2836" w:type="dxa"/>
          </w:tcPr>
          <w:p>
            <w:pPr>
              <w:autoSpaceDE w:val="0"/>
              <w:autoSpaceDN w:val="0"/>
              <w:adjustRightInd w:val="0"/>
              <w:spacing w:line="360" w:lineRule="auto"/>
              <w:jc w:val="center"/>
              <w:rPr>
                <w:rFonts w:eastAsia="仿宋"/>
                <w:color w:val="auto"/>
                <w:sz w:val="24"/>
              </w:rPr>
            </w:pPr>
            <w:bookmarkStart w:id="1" w:name="_GoBack"/>
            <w:bookmarkEnd w:id="1"/>
          </w:p>
        </w:tc>
        <w:tc>
          <w:tcPr>
            <w:tcW w:w="992" w:type="dxa"/>
          </w:tcPr>
          <w:p>
            <w:pPr>
              <w:autoSpaceDE w:val="0"/>
              <w:autoSpaceDN w:val="0"/>
              <w:adjustRightInd w:val="0"/>
              <w:spacing w:line="360" w:lineRule="auto"/>
              <w:jc w:val="center"/>
              <w:rPr>
                <w:rFonts w:eastAsia="仿宋"/>
                <w:sz w:val="24"/>
              </w:rPr>
            </w:pPr>
          </w:p>
        </w:tc>
        <w:tc>
          <w:tcPr>
            <w:tcW w:w="1277" w:type="dxa"/>
            <w:vAlign w:val="center"/>
          </w:tcPr>
          <w:p>
            <w:pPr>
              <w:autoSpaceDE w:val="0"/>
              <w:autoSpaceDN w:val="0"/>
              <w:adjustRightInd w:val="0"/>
              <w:spacing w:line="360" w:lineRule="auto"/>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exact"/>
        </w:trPr>
        <w:tc>
          <w:tcPr>
            <w:tcW w:w="2000" w:type="dxa"/>
            <w:gridSpan w:val="2"/>
            <w:vAlign w:val="center"/>
          </w:tcPr>
          <w:p>
            <w:pPr>
              <w:autoSpaceDE w:val="0"/>
              <w:autoSpaceDN w:val="0"/>
              <w:adjustRightInd w:val="0"/>
              <w:spacing w:line="360" w:lineRule="auto"/>
              <w:jc w:val="center"/>
              <w:rPr>
                <w:rFonts w:eastAsia="仿宋"/>
                <w:sz w:val="24"/>
              </w:rPr>
            </w:pPr>
            <w:r>
              <w:rPr>
                <w:rFonts w:hint="eastAsia" w:eastAsia="仿宋"/>
                <w:sz w:val="24"/>
              </w:rPr>
              <w:t>最终报价（元）</w:t>
            </w:r>
          </w:p>
        </w:tc>
        <w:tc>
          <w:tcPr>
            <w:tcW w:w="6521" w:type="dxa"/>
            <w:gridSpan w:val="4"/>
            <w:vAlign w:val="center"/>
          </w:tcPr>
          <w:p>
            <w:pPr>
              <w:autoSpaceDE w:val="0"/>
              <w:autoSpaceDN w:val="0"/>
              <w:adjustRightInd w:val="0"/>
              <w:spacing w:line="360" w:lineRule="auto"/>
              <w:rPr>
                <w:rFonts w:eastAsia="仿宋"/>
                <w:sz w:val="24"/>
              </w:rPr>
            </w:pPr>
            <w:r>
              <w:rPr>
                <w:rFonts w:hint="eastAsia" w:eastAsia="仿宋"/>
                <w:sz w:val="24"/>
              </w:rPr>
              <w:t>小写：</w:t>
            </w:r>
          </w:p>
          <w:p>
            <w:pPr>
              <w:autoSpaceDE w:val="0"/>
              <w:autoSpaceDN w:val="0"/>
              <w:adjustRightInd w:val="0"/>
              <w:spacing w:line="360" w:lineRule="auto"/>
            </w:pPr>
            <w:r>
              <w:rPr>
                <w:rFonts w:hint="eastAsia" w:eastAsia="仿宋"/>
                <w:sz w:val="24"/>
              </w:rPr>
              <w:t>大写：</w:t>
            </w:r>
          </w:p>
        </w:tc>
      </w:tr>
    </w:tbl>
    <w:p>
      <w:pPr>
        <w:spacing w:line="400" w:lineRule="exact"/>
        <w:rPr>
          <w:rFonts w:ascii="仿宋" w:hAnsi="仿宋" w:eastAsia="仿宋" w:cs="宋体"/>
          <w:color w:val="FF0000"/>
          <w:sz w:val="22"/>
          <w:szCs w:val="21"/>
          <w:lang w:val="zh-CN"/>
        </w:rPr>
      </w:pPr>
    </w:p>
    <w:p>
      <w:pPr>
        <w:widowControl/>
        <w:jc w:val="left"/>
      </w:pPr>
      <w:r>
        <w:rPr>
          <w:rFonts w:hint="eastAsia" w:ascii="仿宋_GB2312" w:hAnsi="仿宋" w:eastAsia="仿宋_GB2312"/>
          <w:color w:val="000000"/>
          <w:sz w:val="28"/>
          <w:szCs w:val="28"/>
        </w:rPr>
        <w:t>备注：报价为含税全包价，包括提供服务的所有费用。</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联系电话：</w:t>
      </w:r>
    </w:p>
    <w:p>
      <w:pPr>
        <w:widowControl/>
        <w:ind w:right="600" w:firstLine="3080" w:firstLineChars="1100"/>
        <w:rPr>
          <w:rFonts w:ascii="仿宋_GB2312" w:hAnsi="仿宋_GB2312" w:eastAsia="仿宋_GB2312" w:cs="仿宋_GB2312"/>
          <w:sz w:val="28"/>
          <w:szCs w:val="28"/>
        </w:rPr>
        <w:sectPr>
          <w:footerReference r:id="rId3" w:type="default"/>
          <w:pgSz w:w="11906" w:h="16838"/>
          <w:pgMar w:top="1928" w:right="1474" w:bottom="1984" w:left="1587" w:header="567" w:footer="567" w:gutter="0"/>
          <w:pgNumType w:fmt="numberInDash"/>
          <w:cols w:space="0" w:num="1"/>
          <w:docGrid w:type="lines" w:linePitch="315" w:charSpace="0"/>
        </w:sectPr>
      </w:pPr>
      <w:r>
        <w:rPr>
          <w:rFonts w:hint="eastAsia" w:ascii="仿宋_GB2312" w:hAnsi="仿宋" w:eastAsia="仿宋_GB2312"/>
          <w:color w:val="000000"/>
          <w:sz w:val="28"/>
          <w:szCs w:val="28"/>
        </w:rPr>
        <w:t>日期：****年**月**日</w:t>
      </w: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8"/>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3"/>
        <w:gridCol w:w="1242"/>
        <w:gridCol w:w="2691"/>
        <w:gridCol w:w="1910"/>
        <w:gridCol w:w="1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6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专业技术资格</w:t>
            </w:r>
          </w:p>
        </w:tc>
        <w:tc>
          <w:tcPr>
            <w:tcW w:w="19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证书编号</w:t>
            </w:r>
          </w:p>
        </w:tc>
        <w:tc>
          <w:tcPr>
            <w:tcW w:w="13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注：需提供服务人员身份证（复印件）、专业技术资格证书（复印件）、社保证明材料，所有证件复印件需加盖报价人公章。</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spacing w:line="600" w:lineRule="exact"/>
        <w:jc w:val="left"/>
        <w:rPr>
          <w:rFonts w:ascii="仿宋_GB2312" w:hAnsi="仿宋_GB2312" w:eastAsia="仿宋_GB2312" w:cs="仿宋_GB2312"/>
          <w:bCs/>
          <w:color w:val="000000"/>
          <w:kern w:val="1"/>
          <w:sz w:val="32"/>
          <w:szCs w:val="32"/>
        </w:rPr>
      </w:pPr>
    </w:p>
    <w:p>
      <w:pPr>
        <w:spacing w:line="560" w:lineRule="exact"/>
        <w:ind w:right="150" w:firstLine="600"/>
        <w:jc w:val="left"/>
        <w:rPr>
          <w:rFonts w:ascii="仿宋" w:hAnsi="仿宋" w:eastAsia="仿宋" w:cs="仿宋"/>
          <w:sz w:val="30"/>
          <w:szCs w:val="30"/>
        </w:rPr>
      </w:pPr>
    </w:p>
    <w:p>
      <w:pPr>
        <w:adjustRightInd w:val="0"/>
        <w:snapToGrid w:val="0"/>
        <w:spacing w:line="560" w:lineRule="exact"/>
        <w:ind w:firstLine="640" w:firstLineChars="200"/>
        <w:jc w:val="left"/>
        <w:rPr>
          <w:rFonts w:ascii="仿宋_GB2312" w:hAnsi="仿宋_GB2312" w:eastAsia="仿宋_GB2312" w:cs="仿宋_GB2312"/>
          <w:kern w:val="0"/>
          <w:sz w:val="32"/>
          <w:szCs w:val="32"/>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42799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5135" cy="427990"/>
                      </a:xfrm>
                      <a:prstGeom prst="rect">
                        <a:avLst/>
                      </a:prstGeom>
                      <a:noFill/>
                      <a:ln>
                        <a:noFill/>
                      </a:ln>
                    </wps:spPr>
                    <wps:txbx>
                      <w:txbxContent>
                        <w:sdt>
                          <w:sdtPr>
                            <w:id w:val="-174499309"/>
                          </w:sdtPr>
                          <w:sdtEndPr>
                            <w:rPr>
                              <w:rFonts w:hint="eastAsia" w:ascii="宋体" w:hAnsi="宋体" w:eastAsia="宋体" w:cs="宋体"/>
                              <w:sz w:val="28"/>
                              <w:szCs w:val="28"/>
                            </w:rPr>
                          </w:sdtEndPr>
                          <w:sdtContent>
                            <w:p>
                              <w:pPr>
                                <w:pStyle w:val="6"/>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2 -</w:t>
                              </w:r>
                              <w:r>
                                <w:rPr>
                                  <w:rFonts w:hint="eastAsia" w:ascii="宋体" w:hAnsi="宋体" w:eastAsia="宋体" w:cs="宋体"/>
                                  <w:sz w:val="28"/>
                                  <w:szCs w:val="28"/>
                                </w:rPr>
                                <w:fldChar w:fldCharType="end"/>
                              </w:r>
                            </w:p>
                          </w:sdtContent>
                        </w:sdt>
                        <w:p>
                          <w:pPr>
                            <w:pStyle w:val="23"/>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33.7pt;width:35.05pt;mso-position-horizontal:outside;mso-position-horizontal-relative:margin;mso-wrap-style:none;z-index:251660288;mso-width-relative:page;mso-height-relative:page;" filled="f" stroked="f" coordsize="21600,21600" o:gfxdata="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P5W4XRAAAAAwEAAA8AAAAAAAAAAQAgAAAAIgAAAGRycy9kb3ducmV2LnhtbFBLAQIU&#10;ABQAAAAIAIdO4kCg3xwx+gEAAAEEAAAOAAAAAAAAAAEAIAAAACABAABkcnMvZTJvRG9jLnhtbFBL&#10;BQYAAAAABgAGAFkBAACMBQAAAAA=&#10;">
              <v:fill on="f" focussize="0,0"/>
              <v:stroke on="f"/>
              <v:imagedata o:title=""/>
              <o:lock v:ext="edit" aspectratio="f"/>
              <v:textbox inset="0mm,0mm,0mm,0mm" style="mso-fit-shape-to-text:t;">
                <w:txbxContent>
                  <w:sdt>
                    <w:sdtPr>
                      <w:id w:val="-174499309"/>
                    </w:sdtPr>
                    <w:sdtEndPr>
                      <w:rPr>
                        <w:rFonts w:hint="eastAsia" w:ascii="宋体" w:hAnsi="宋体" w:eastAsia="宋体" w:cs="宋体"/>
                        <w:sz w:val="28"/>
                        <w:szCs w:val="28"/>
                      </w:rPr>
                    </w:sdtEndPr>
                    <w:sdtContent>
                      <w:p>
                        <w:pPr>
                          <w:pStyle w:val="6"/>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2 -</w:t>
                        </w:r>
                        <w:r>
                          <w:rPr>
                            <w:rFonts w:hint="eastAsia" w:ascii="宋体" w:hAnsi="宋体" w:eastAsia="宋体" w:cs="宋体"/>
                            <w:sz w:val="28"/>
                            <w:szCs w:val="28"/>
                          </w:rPr>
                          <w:fldChar w:fldCharType="end"/>
                        </w:r>
                      </w:p>
                    </w:sdtContent>
                  </w:sdt>
                  <w:p>
                    <w:pPr>
                      <w:pStyle w:val="23"/>
                    </w:pP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Q4Mjg4OWUwMGFkNDQ5Y2U4YjhiMDJjMmJmNTIifQ=="/>
  </w:docVars>
  <w:rsids>
    <w:rsidRoot w:val="00850521"/>
    <w:rsid w:val="00002E0A"/>
    <w:rsid w:val="000E0178"/>
    <w:rsid w:val="00162D26"/>
    <w:rsid w:val="001D6239"/>
    <w:rsid w:val="002A0A1C"/>
    <w:rsid w:val="002A70C4"/>
    <w:rsid w:val="002C71E2"/>
    <w:rsid w:val="00326531"/>
    <w:rsid w:val="00397038"/>
    <w:rsid w:val="003B4983"/>
    <w:rsid w:val="003F1BC3"/>
    <w:rsid w:val="004070F3"/>
    <w:rsid w:val="004435CC"/>
    <w:rsid w:val="00474130"/>
    <w:rsid w:val="0047757D"/>
    <w:rsid w:val="004E4B2B"/>
    <w:rsid w:val="00536018"/>
    <w:rsid w:val="0054681F"/>
    <w:rsid w:val="00547E9F"/>
    <w:rsid w:val="00566030"/>
    <w:rsid w:val="005C6DC8"/>
    <w:rsid w:val="00691D0F"/>
    <w:rsid w:val="0069274E"/>
    <w:rsid w:val="006C55AC"/>
    <w:rsid w:val="00730153"/>
    <w:rsid w:val="007B7BBF"/>
    <w:rsid w:val="008150C9"/>
    <w:rsid w:val="00850521"/>
    <w:rsid w:val="00854C04"/>
    <w:rsid w:val="008745C9"/>
    <w:rsid w:val="008839F0"/>
    <w:rsid w:val="008B1554"/>
    <w:rsid w:val="008C65D2"/>
    <w:rsid w:val="00902B6A"/>
    <w:rsid w:val="009068B7"/>
    <w:rsid w:val="00924BC5"/>
    <w:rsid w:val="00991005"/>
    <w:rsid w:val="00996968"/>
    <w:rsid w:val="009C1668"/>
    <w:rsid w:val="00A23005"/>
    <w:rsid w:val="00A706D3"/>
    <w:rsid w:val="00A755E1"/>
    <w:rsid w:val="00A84DA1"/>
    <w:rsid w:val="00AA39A5"/>
    <w:rsid w:val="00AD2F13"/>
    <w:rsid w:val="00AE4481"/>
    <w:rsid w:val="00BA7D68"/>
    <w:rsid w:val="00BD48C2"/>
    <w:rsid w:val="00C435AD"/>
    <w:rsid w:val="00C6294B"/>
    <w:rsid w:val="00C9607C"/>
    <w:rsid w:val="00D14258"/>
    <w:rsid w:val="00D40D26"/>
    <w:rsid w:val="00DA4C85"/>
    <w:rsid w:val="00DE706D"/>
    <w:rsid w:val="00E24DD2"/>
    <w:rsid w:val="00E72466"/>
    <w:rsid w:val="00E83238"/>
    <w:rsid w:val="00EB03AE"/>
    <w:rsid w:val="00EE1DD3"/>
    <w:rsid w:val="00F42D56"/>
    <w:rsid w:val="00F812DD"/>
    <w:rsid w:val="00F83D6D"/>
    <w:rsid w:val="00FA33F9"/>
    <w:rsid w:val="00FB77A7"/>
    <w:rsid w:val="00FE2FC0"/>
    <w:rsid w:val="01F80AC9"/>
    <w:rsid w:val="023340C8"/>
    <w:rsid w:val="03923DE0"/>
    <w:rsid w:val="05B9052D"/>
    <w:rsid w:val="09023CF6"/>
    <w:rsid w:val="0DBC0BBA"/>
    <w:rsid w:val="0E76520D"/>
    <w:rsid w:val="10342683"/>
    <w:rsid w:val="11230F50"/>
    <w:rsid w:val="116D239E"/>
    <w:rsid w:val="13E76BAD"/>
    <w:rsid w:val="14E46C49"/>
    <w:rsid w:val="161D3B2C"/>
    <w:rsid w:val="17D64718"/>
    <w:rsid w:val="1A4C59BC"/>
    <w:rsid w:val="24D97E4C"/>
    <w:rsid w:val="2F6D7037"/>
    <w:rsid w:val="324F79A0"/>
    <w:rsid w:val="362A0508"/>
    <w:rsid w:val="371E780B"/>
    <w:rsid w:val="372E04CB"/>
    <w:rsid w:val="3795122B"/>
    <w:rsid w:val="390F70E1"/>
    <w:rsid w:val="39E92488"/>
    <w:rsid w:val="40EE65D6"/>
    <w:rsid w:val="41F8770C"/>
    <w:rsid w:val="455F7AA2"/>
    <w:rsid w:val="45E16709"/>
    <w:rsid w:val="48A47285"/>
    <w:rsid w:val="4963540B"/>
    <w:rsid w:val="4D630BFB"/>
    <w:rsid w:val="507F3EA0"/>
    <w:rsid w:val="50B769E4"/>
    <w:rsid w:val="52DE290D"/>
    <w:rsid w:val="5B290B78"/>
    <w:rsid w:val="5E5D0BCB"/>
    <w:rsid w:val="60D5619C"/>
    <w:rsid w:val="61D32E0B"/>
    <w:rsid w:val="66533C9C"/>
    <w:rsid w:val="68925915"/>
    <w:rsid w:val="694B3E8B"/>
    <w:rsid w:val="6C4038DA"/>
    <w:rsid w:val="7B851309"/>
    <w:rsid w:val="7D507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qFormat/>
    <w:uiPriority w:val="0"/>
    <w:pPr>
      <w:keepNext/>
      <w:keepLines/>
      <w:spacing w:before="260" w:after="260" w:line="416" w:lineRule="atLeast"/>
      <w:outlineLvl w:val="2"/>
    </w:pPr>
    <w:rPr>
      <w:b/>
      <w:bCs/>
      <w:szCs w:val="32"/>
    </w:rPr>
  </w:style>
  <w:style w:type="paragraph" w:styleId="3">
    <w:name w:val="heading 4"/>
    <w:basedOn w:val="1"/>
    <w:next w:val="1"/>
    <w:link w:val="12"/>
    <w:autoRedefine/>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link w:val="13"/>
    <w:qFormat/>
    <w:uiPriority w:val="0"/>
    <w:pPr>
      <w:spacing w:after="120" w:line="480" w:lineRule="auto"/>
      <w:ind w:left="420" w:leftChars="200"/>
    </w:pPr>
  </w:style>
  <w:style w:type="paragraph" w:styleId="5">
    <w:name w:val="Balloon Text"/>
    <w:basedOn w:val="1"/>
    <w:link w:val="15"/>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autoRedefine/>
    <w:qFormat/>
    <w:uiPriority w:val="99"/>
    <w:rPr>
      <w:sz w:val="18"/>
      <w:szCs w:val="18"/>
    </w:rPr>
  </w:style>
  <w:style w:type="character" w:customStyle="1" w:styleId="12">
    <w:name w:val="标题 4 Char"/>
    <w:basedOn w:val="9"/>
    <w:link w:val="3"/>
    <w:qFormat/>
    <w:uiPriority w:val="9"/>
    <w:rPr>
      <w:rFonts w:ascii="Cambria" w:hAnsi="Cambria"/>
      <w:b/>
      <w:kern w:val="0"/>
      <w:sz w:val="28"/>
      <w:szCs w:val="20"/>
    </w:rPr>
  </w:style>
  <w:style w:type="character" w:customStyle="1" w:styleId="13">
    <w:name w:val="正文文本缩进 2 Char"/>
    <w:basedOn w:val="9"/>
    <w:link w:val="4"/>
    <w:qFormat/>
    <w:uiPriority w:val="0"/>
  </w:style>
  <w:style w:type="paragraph" w:customStyle="1" w:styleId="14">
    <w:name w:val="表格"/>
    <w:basedOn w:val="1"/>
    <w:qFormat/>
    <w:uiPriority w:val="0"/>
    <w:pPr>
      <w:jc w:val="center"/>
    </w:pPr>
    <w:rPr>
      <w:rFonts w:ascii="仿宋" w:hAnsi="仿宋" w:eastAsia="仿宋"/>
      <w:szCs w:val="21"/>
    </w:rPr>
  </w:style>
  <w:style w:type="character" w:customStyle="1" w:styleId="15">
    <w:name w:val="批注框文本 Char"/>
    <w:basedOn w:val="9"/>
    <w:link w:val="5"/>
    <w:semiHidden/>
    <w:qFormat/>
    <w:uiPriority w:val="99"/>
    <w:rPr>
      <w:kern w:val="2"/>
      <w:sz w:val="18"/>
      <w:szCs w:val="18"/>
    </w:rPr>
  </w:style>
  <w:style w:type="character" w:customStyle="1" w:styleId="16">
    <w:name w:val="font71"/>
    <w:basedOn w:val="9"/>
    <w:qFormat/>
    <w:uiPriority w:val="0"/>
    <w:rPr>
      <w:rFonts w:hint="eastAsia" w:ascii="宋体" w:hAnsi="宋体" w:eastAsia="宋体" w:cs="宋体"/>
      <w:b/>
      <w:bCs/>
      <w:color w:val="000000"/>
      <w:sz w:val="22"/>
      <w:szCs w:val="22"/>
      <w:u w:val="none"/>
    </w:rPr>
  </w:style>
  <w:style w:type="character" w:customStyle="1" w:styleId="17">
    <w:name w:val="font31"/>
    <w:basedOn w:val="9"/>
    <w:qFormat/>
    <w:uiPriority w:val="0"/>
    <w:rPr>
      <w:rFonts w:hint="eastAsia" w:ascii="微软雅黑" w:hAnsi="微软雅黑" w:eastAsia="微软雅黑" w:cs="微软雅黑"/>
      <w:color w:val="000000"/>
      <w:sz w:val="20"/>
      <w:szCs w:val="20"/>
      <w:u w:val="none"/>
    </w:rPr>
  </w:style>
  <w:style w:type="character" w:customStyle="1" w:styleId="18">
    <w:name w:val="font81"/>
    <w:basedOn w:val="9"/>
    <w:qFormat/>
    <w:uiPriority w:val="0"/>
    <w:rPr>
      <w:rFonts w:hint="eastAsia" w:ascii="宋体" w:hAnsi="宋体" w:eastAsia="宋体" w:cs="宋体"/>
      <w:color w:val="000000"/>
      <w:sz w:val="20"/>
      <w:szCs w:val="20"/>
      <w:u w:val="none"/>
    </w:rPr>
  </w:style>
  <w:style w:type="character" w:customStyle="1" w:styleId="19">
    <w:name w:val="font61"/>
    <w:basedOn w:val="9"/>
    <w:qFormat/>
    <w:uiPriority w:val="0"/>
    <w:rPr>
      <w:rFonts w:hint="eastAsia" w:ascii="宋体" w:hAnsi="宋体" w:eastAsia="宋体" w:cs="宋体"/>
      <w:b/>
      <w:bCs/>
      <w:color w:val="000000"/>
      <w:sz w:val="24"/>
      <w:szCs w:val="24"/>
      <w:u w:val="none"/>
    </w:rPr>
  </w:style>
  <w:style w:type="character" w:customStyle="1" w:styleId="20">
    <w:name w:val="font01"/>
    <w:basedOn w:val="9"/>
    <w:qFormat/>
    <w:uiPriority w:val="0"/>
    <w:rPr>
      <w:rFonts w:hint="eastAsia" w:ascii="宋体" w:hAnsi="宋体" w:eastAsia="宋体" w:cs="宋体"/>
      <w:color w:val="000000"/>
      <w:sz w:val="24"/>
      <w:szCs w:val="24"/>
      <w:u w:val="none"/>
    </w:rPr>
  </w:style>
  <w:style w:type="character" w:customStyle="1" w:styleId="21">
    <w:name w:val="font11"/>
    <w:basedOn w:val="9"/>
    <w:autoRedefine/>
    <w:qFormat/>
    <w:uiPriority w:val="0"/>
    <w:rPr>
      <w:rFonts w:hint="eastAsia" w:ascii="宋体" w:hAnsi="宋体" w:eastAsia="宋体" w:cs="宋体"/>
      <w:b/>
      <w:bCs/>
      <w:color w:val="000000"/>
      <w:sz w:val="24"/>
      <w:szCs w:val="24"/>
      <w:u w:val="none"/>
    </w:rPr>
  </w:style>
  <w:style w:type="character" w:customStyle="1" w:styleId="22">
    <w:name w:val="font21"/>
    <w:basedOn w:val="9"/>
    <w:autoRedefine/>
    <w:qFormat/>
    <w:uiPriority w:val="0"/>
    <w:rPr>
      <w:rFonts w:ascii="微软雅黑" w:hAnsi="微软雅黑" w:eastAsia="微软雅黑" w:cs="微软雅黑"/>
      <w:color w:val="000000"/>
      <w:sz w:val="20"/>
      <w:szCs w:val="20"/>
      <w:u w:val="none"/>
    </w:rPr>
  </w:style>
  <w:style w:type="paragraph" w:customStyle="1" w:styleId="23">
    <w:name w:val="Default"/>
    <w:autoRedefine/>
    <w:qFormat/>
    <w:uiPriority w:val="99"/>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488</Words>
  <Characters>2783</Characters>
  <Lines>23</Lines>
  <Paragraphs>6</Paragraphs>
  <TotalTime>60</TotalTime>
  <ScaleCrop>false</ScaleCrop>
  <LinksUpToDate>false</LinksUpToDate>
  <CharactersWithSpaces>3265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2023-10-25T02:09:00Z</dcterms:created>
  <dc:creator>张小彤</dc:creator>
  <cp:lastModifiedBy>张小彤</cp:lastModifiedBy>
  <cp:lastPrinted>2024-02-19T01:02:00Z</cp:lastPrinted>
  <dcterms:modified xsi:type="dcterms:W3CDTF">2024-03-06T07:24:43Z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EB032FB28CD44B7B8ADDF3B728366CB3_13</vt:lpwstr>
  </property>
</Properties>
</file>