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青钢财务记账软件运营维护服务</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1.采购单位：</w:t>
      </w:r>
      <w:r>
        <w:rPr>
          <w:rFonts w:hint="eastAsia" w:ascii="仿宋_GB2312" w:eastAsia="仿宋_GB2312"/>
          <w:sz w:val="32"/>
          <w:szCs w:val="32"/>
        </w:rPr>
        <w:t>青岛钢铁控股集团有限责任公司</w:t>
      </w:r>
    </w:p>
    <w:p>
      <w:pPr>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2.服务名称：</w:t>
      </w:r>
      <w:r>
        <w:rPr>
          <w:rFonts w:hint="eastAsia" w:ascii="仿宋_GB2312" w:eastAsia="仿宋_GB2312"/>
          <w:sz w:val="32"/>
          <w:szCs w:val="32"/>
        </w:rPr>
        <w:t>青钢财务记账软件运营维护服务</w:t>
      </w:r>
    </w:p>
    <w:p>
      <w:pPr>
        <w:spacing w:line="560" w:lineRule="exact"/>
        <w:ind w:firstLine="640"/>
        <w:jc w:val="left"/>
        <w:rPr>
          <w:rFonts w:ascii="仿宋_GB2312" w:eastAsia="仿宋_GB2312"/>
          <w:sz w:val="32"/>
          <w:szCs w:val="32"/>
        </w:rPr>
      </w:pPr>
      <w:r>
        <w:rPr>
          <w:rFonts w:hint="eastAsia" w:ascii="仿宋_GB2312" w:hAnsi="宋体" w:eastAsia="仿宋_GB2312" w:cs="宋体"/>
          <w:kern w:val="0"/>
          <w:sz w:val="32"/>
          <w:szCs w:val="32"/>
        </w:rPr>
        <w:t>3.服务内容：</w:t>
      </w:r>
      <w:r>
        <w:rPr>
          <w:rFonts w:hint="eastAsia" w:ascii="仿宋_GB2312" w:eastAsia="仿宋_GB2312"/>
          <w:sz w:val="32"/>
          <w:szCs w:val="32"/>
        </w:rPr>
        <w:t>青岛钢铁控股集团有限责任公司现使用用友T3财务软件，软件采购于2019年，包含总账及存货核算模块，自2021年起未启用外部运维服务，目前软件使用存在报错情况，现需采购用友T3财务软件运维服务，以保证软件正常运行及使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4.服务地点：</w:t>
      </w:r>
      <w:r>
        <w:rPr>
          <w:rFonts w:hint="eastAsia" w:ascii="仿宋_GB2312" w:eastAsia="仿宋_GB2312"/>
          <w:sz w:val="32"/>
          <w:szCs w:val="32"/>
        </w:rPr>
        <w:t>青岛市李沧区</w:t>
      </w:r>
      <w:r>
        <w:rPr>
          <w:rFonts w:hint="eastAsia" w:ascii="仿宋_GB2312" w:hAnsi="宋体" w:eastAsia="仿宋_GB2312" w:cs="Times New Roman"/>
          <w:sz w:val="32"/>
          <w:szCs w:val="32"/>
        </w:rPr>
        <w:t>遵义路5号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5.采购预算：每年3500元，服务期限3年，合计10500元。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1.在中华人民共和国境内注册，具有独立的法人资格；</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2.</w:t>
      </w:r>
      <w:r>
        <w:rPr>
          <w:rFonts w:hint="eastAsia" w:ascii="仿宋_GB2312" w:hAnsi="仿宋_GB2312" w:eastAsia="仿宋_GB2312" w:cs="仿宋_GB2312"/>
          <w:kern w:val="0"/>
          <w:sz w:val="32"/>
          <w:szCs w:val="32"/>
        </w:rPr>
        <w:t>营业执照经营范围须包括计算机或软件开发等相关内容；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3.近三年（2021年1月1日至今）承接过用友公司相关产品的运营维护服务同类业绩。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服务内容：首次服务需到现场对青钢集团用友T3软件进行全面检测及维护，解决现有报错及使用问题。后期需提供青钢集团用友T3软件的日常运营维护服务，使其满足用户日常工作需求。如报价单位拥有过用友公司相关产品授权证书，请一并提供授权书复印件。服务方式包含但不限于以下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（1）在线服务:维护服务人员通过web浏览器为用户解决技术问题；</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（2）热线服务:维护服务人员通过热线电话解答技术问题；</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（3）远程维护服务:通过远程维护对软件进行远程调试；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（4）现场服务:派遣维护服务人员到用户软件使用现场解决问题，并对用户进行技术指导，对软件进行系统保障、更新升级等服务。</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2.服务期限：暂定3年，根据采购单位实际管理及使用情况按年签订合同。</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3.人员配备要求：派遣不低于1名较为固定的技术服务人员对用户进行服务，技术服务人员需熟练掌握用友T3软件操作及维护流程，具有2年以上从业经验。</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4.服务标准：需满足采购单位要求，解决软件使用及维护的各项问题。</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1.报价应为含税全包价费用，包括完成提供上述服务的所有费用。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法人身份证明或授权委托书（附件1）、同类合同业绩（复印件）、软件授权证书（如有、复印件）、报价承诺函（附件2）、报价表（附件3）、服务人员配备表（附件4）及人员身份证（复印件）、专业技术资格证书（如有，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1.报价截止时间：2024年4月</w:t>
      </w:r>
      <w:r>
        <w:rPr>
          <w:rFonts w:hint="eastAsia" w:ascii="仿宋_GB2312" w:eastAsia="仿宋_GB2312"/>
          <w:sz w:val="32"/>
          <w:szCs w:val="32"/>
          <w:lang w:val="en-US" w:eastAsia="zh-CN"/>
        </w:rPr>
        <w:t>16</w:t>
      </w:r>
      <w:r>
        <w:rPr>
          <w:rFonts w:hint="eastAsia" w:ascii="仿宋_GB2312" w:eastAsia="仿宋_GB2312"/>
          <w:sz w:val="32"/>
          <w:szCs w:val="32"/>
        </w:rPr>
        <w:t>日</w:t>
      </w:r>
      <w:r>
        <w:rPr>
          <w:rFonts w:hint="eastAsia" w:ascii="仿宋_GB2312" w:eastAsia="仿宋_GB2312"/>
          <w:sz w:val="32"/>
          <w:szCs w:val="32"/>
          <w:lang w:val="en-US" w:eastAsia="zh-CN"/>
        </w:rPr>
        <w:t>14</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hAnsi="宋体" w:eastAsia="仿宋_GB2312" w:cs="宋体"/>
          <w:kern w:val="0"/>
          <w:sz w:val="32"/>
          <w:szCs w:val="32"/>
        </w:rPr>
        <w:t>邮寄或</w:t>
      </w:r>
      <w:r>
        <w:rPr>
          <w:rFonts w:hint="eastAsia" w:ascii="仿宋_GB2312" w:eastAsia="仿宋_GB2312"/>
          <w:sz w:val="32"/>
          <w:szCs w:val="32"/>
        </w:rPr>
        <w:t>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联系人:</w:t>
      </w:r>
      <w:r>
        <w:rPr>
          <w:rFonts w:hint="eastAsia" w:ascii="仿宋_GB2312" w:eastAsia="仿宋_GB2312"/>
          <w:sz w:val="32"/>
          <w:szCs w:val="32"/>
        </w:rPr>
        <w:t xml:space="preserve"> 丁女士</w:t>
      </w:r>
      <w:r>
        <w:rPr>
          <w:rFonts w:hint="eastAsia" w:ascii="仿宋_GB2312" w:hAnsi="宋体" w:eastAsia="仿宋_GB2312" w:cs="宋体"/>
          <w:kern w:val="0"/>
          <w:sz w:val="32"/>
          <w:szCs w:val="32"/>
        </w:rPr>
        <w:t xml:space="preserve">      电话：</w:t>
      </w:r>
      <w:r>
        <w:rPr>
          <w:rFonts w:hint="eastAsia" w:ascii="仿宋_GB2312" w:eastAsia="仿宋_GB2312"/>
          <w:sz w:val="32"/>
          <w:szCs w:val="32"/>
        </w:rPr>
        <w:t>0532-67781799</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rPr>
          <w:rFonts w:ascii="仿宋_GB2312" w:eastAsia="仿宋_GB2312"/>
          <w:sz w:val="32"/>
          <w:szCs w:val="32"/>
        </w:rPr>
      </w:pPr>
      <w:bookmarkStart w:id="1" w:name="_GoBack"/>
      <w:bookmarkEnd w:id="1"/>
    </w:p>
    <w:p>
      <w:pPr>
        <w:adjustRightInd w:val="0"/>
        <w:snapToGrid w:val="0"/>
        <w:spacing w:line="560" w:lineRule="exact"/>
        <w:ind w:firstLine="640" w:firstLineChars="200"/>
        <w:jc w:val="right"/>
        <w:rPr>
          <w:rFonts w:ascii="仿宋_GB2312" w:eastAsia="仿宋_GB2312"/>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eastAsia="仿宋_GB2312"/>
          <w:sz w:val="32"/>
          <w:szCs w:val="32"/>
        </w:rPr>
        <w:t>青岛钢铁控股集团有限责任公司</w:t>
      </w:r>
      <w:r>
        <w:rPr>
          <w:rFonts w:hint="eastAsia" w:ascii="仿宋_GB2312" w:hAnsi="仿宋_GB2312" w:eastAsia="仿宋_GB2312" w:cs="仿宋_GB2312"/>
          <w:kern w:val="0"/>
          <w:sz w:val="32"/>
          <w:szCs w:val="32"/>
        </w:rPr>
        <w:t xml:space="preserve">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2024年4月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 xml:space="preserve">日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6"/>
      </w:pPr>
    </w:p>
    <w:p>
      <w:pPr>
        <w:pStyle w:val="6"/>
      </w:pPr>
    </w:p>
    <w:p>
      <w:pPr>
        <w:pStyle w:val="6"/>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青岛钢铁控股集团有限责任公司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青钢财务记账软件运营维护服务</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6"/>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附件3.报价表</w:t>
      </w:r>
    </w:p>
    <w:p>
      <w:pPr>
        <w:pStyle w:val="16"/>
        <w:adjustRightInd w:val="0"/>
        <w:snapToGrid w:val="0"/>
        <w:ind w:right="280"/>
        <w:rPr>
          <w:b/>
          <w:sz w:val="44"/>
          <w:szCs w:val="44"/>
        </w:rPr>
      </w:pPr>
      <w:bookmarkStart w:id="0" w:name="_Hlk133134060"/>
      <w:r>
        <w:rPr>
          <w:rFonts w:hint="eastAsia"/>
          <w:b/>
          <w:sz w:val="44"/>
          <w:szCs w:val="44"/>
        </w:rPr>
        <w:t>报价表</w:t>
      </w:r>
      <w:bookmarkEnd w:id="0"/>
    </w:p>
    <w:tbl>
      <w:tblPr>
        <w:tblStyle w:val="10"/>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352"/>
        <w:gridCol w:w="2056"/>
        <w:gridCol w:w="1549"/>
        <w:gridCol w:w="1549"/>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999"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项目名称</w:t>
            </w:r>
          </w:p>
        </w:tc>
        <w:tc>
          <w:tcPr>
            <w:tcW w:w="2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单价</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（元</w:t>
            </w:r>
            <w:r>
              <w:rPr>
                <w:rFonts w:ascii="仿宋" w:hAnsi="仿宋" w:eastAsia="仿宋"/>
                <w:color w:val="000000"/>
                <w:sz w:val="28"/>
                <w:szCs w:val="28"/>
              </w:rPr>
              <w:t>/</w:t>
            </w:r>
            <w:r>
              <w:rPr>
                <w:rFonts w:hint="eastAsia" w:ascii="仿宋" w:hAnsi="仿宋" w:eastAsia="仿宋"/>
                <w:color w:val="000000"/>
                <w:sz w:val="28"/>
                <w:szCs w:val="28"/>
              </w:rPr>
              <w:t>年）</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服务期限</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合计</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（元）</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_GB2312" w:hAnsi="仿宋" w:eastAsia="仿宋_GB2312"/>
                <w:color w:val="000000"/>
                <w:sz w:val="24"/>
                <w:szCs w:val="24"/>
              </w:rPr>
            </w:pPr>
            <w:r>
              <w:rPr>
                <w:rFonts w:ascii="仿宋_GB2312" w:hAnsi="仿宋" w:eastAsia="仿宋_GB2312"/>
                <w:color w:val="000000"/>
                <w:sz w:val="24"/>
                <w:szCs w:val="24"/>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青钢财务记账软件运营维护服务</w:t>
            </w:r>
          </w:p>
        </w:tc>
        <w:tc>
          <w:tcPr>
            <w:tcW w:w="2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_GB2312" w:hAnsi="仿宋" w:eastAsia="仿宋_GB2312"/>
                <w:color w:val="000000"/>
                <w:sz w:val="24"/>
                <w:szCs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_GB2312" w:hAnsi="仿宋" w:eastAsia="仿宋_GB2312"/>
                <w:color w:val="000000"/>
                <w:sz w:val="24"/>
                <w:szCs w:val="24"/>
              </w:rPr>
            </w:pPr>
            <w:r>
              <w:rPr>
                <w:rFonts w:ascii="仿宋_GB2312" w:hAnsi="仿宋" w:eastAsia="仿宋_GB2312"/>
                <w:color w:val="000000"/>
                <w:sz w:val="24"/>
                <w:szCs w:val="24"/>
              </w:rPr>
              <w:t>3年</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_GB2312" w:hAnsi="仿宋" w:eastAsia="仿宋_GB2312"/>
                <w:color w:val="000000"/>
                <w:sz w:val="24"/>
                <w:szCs w:val="24"/>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_GB2312" w:hAnsi="仿宋"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33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总计</w:t>
            </w:r>
          </w:p>
        </w:tc>
        <w:tc>
          <w:tcPr>
            <w:tcW w:w="634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rPr>
                <w:rFonts w:ascii="仿宋_GB2312" w:hAnsi="仿宋" w:eastAsia="仿宋_GB2312"/>
                <w:color w:val="000000"/>
                <w:sz w:val="24"/>
                <w:szCs w:val="24"/>
              </w:rPr>
            </w:pPr>
            <w:r>
              <w:rPr>
                <w:rFonts w:hint="eastAsia" w:ascii="仿宋_GB2312" w:hAnsi="仿宋" w:eastAsia="仿宋_GB2312"/>
                <w:color w:val="000000"/>
                <w:sz w:val="24"/>
                <w:szCs w:val="24"/>
              </w:rPr>
              <w:t>大写：</w:t>
            </w:r>
          </w:p>
          <w:p>
            <w:pPr>
              <w:adjustRightInd w:val="0"/>
              <w:snapToGrid w:val="0"/>
              <w:rPr>
                <w:color w:val="000000"/>
              </w:rPr>
            </w:pPr>
            <w:r>
              <w:rPr>
                <w:rFonts w:hint="eastAsia" w:ascii="仿宋_GB2312" w:hAnsi="仿宋" w:eastAsia="仿宋_GB2312"/>
                <w:color w:val="000000"/>
                <w:sz w:val="24"/>
                <w:szCs w:val="24"/>
              </w:rPr>
              <w:t>小写：</w:t>
            </w:r>
          </w:p>
        </w:tc>
      </w:tr>
    </w:tbl>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备注：报价为含税全包价，包括完成服务的所有费用。</w:t>
      </w:r>
    </w:p>
    <w:p>
      <w:pPr>
        <w:keepNext/>
        <w:keepLines/>
        <w:widowControl/>
        <w:spacing w:before="280" w:after="290" w:line="376" w:lineRule="auto"/>
        <w:jc w:val="left"/>
        <w:outlineLvl w:val="3"/>
        <w:rPr>
          <w:rFonts w:ascii="Cambria" w:hAnsi="Cambria"/>
          <w:b/>
          <w:kern w:val="0"/>
          <w:sz w:val="28"/>
          <w:szCs w:val="20"/>
        </w:rPr>
      </w:pPr>
    </w:p>
    <w:p>
      <w:pPr>
        <w:widowControl/>
        <w:ind w:right="600"/>
        <w:jc w:val="center"/>
        <w:rPr>
          <w:rFonts w:ascii="仿宋_GB2312" w:hAnsi="仿宋" w:eastAsia="仿宋_GB2312"/>
          <w:color w:val="000000"/>
          <w:sz w:val="28"/>
          <w:szCs w:val="28"/>
        </w:rPr>
      </w:pPr>
      <w:r>
        <w:rPr>
          <w:rFonts w:hint="eastAsia" w:ascii="仿宋_GB2312" w:hAnsi="仿宋" w:eastAsia="仿宋_GB2312"/>
          <w:color w:val="000000"/>
          <w:sz w:val="28"/>
          <w:szCs w:val="28"/>
        </w:rPr>
        <w:t xml:space="preserve">  报价单位（盖章）：</w:t>
      </w:r>
    </w:p>
    <w:p>
      <w:pPr>
        <w:widowControl/>
        <w:ind w:right="600"/>
        <w:jc w:val="center"/>
        <w:rPr>
          <w:rFonts w:ascii="仿宋_GB2312" w:hAnsi="仿宋" w:eastAsia="仿宋_GB2312"/>
          <w:color w:val="000000"/>
          <w:sz w:val="28"/>
          <w:szCs w:val="28"/>
        </w:rPr>
      </w:pPr>
      <w:r>
        <w:rPr>
          <w:rFonts w:hint="eastAsia" w:ascii="仿宋_GB2312" w:hAnsi="仿宋" w:eastAsia="仿宋_GB2312"/>
          <w:color w:val="000000"/>
          <w:sz w:val="28"/>
          <w:szCs w:val="28"/>
        </w:rPr>
        <w:t xml:space="preserve">          法定代表人（盖章或签字）：   </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 xml:space="preserve">联系电话：    </w:t>
      </w:r>
    </w:p>
    <w:p>
      <w:pPr>
        <w:widowControl/>
        <w:ind w:right="600"/>
        <w:jc w:val="center"/>
        <w:rPr>
          <w:rFonts w:ascii="仿宋_GB2312" w:hAnsi="仿宋" w:eastAsia="仿宋_GB2312"/>
          <w:color w:val="000000"/>
          <w:sz w:val="28"/>
          <w:szCs w:val="28"/>
        </w:rPr>
      </w:pPr>
      <w:r>
        <w:rPr>
          <w:rFonts w:hint="eastAsia" w:ascii="仿宋_GB2312" w:hAnsi="仿宋" w:eastAsia="仿宋_GB2312"/>
          <w:color w:val="000000"/>
          <w:sz w:val="28"/>
          <w:szCs w:val="28"/>
        </w:rPr>
        <w:t xml:space="preserve">      日期：     年  月  日</w:t>
      </w:r>
    </w:p>
    <w:p>
      <w:pPr>
        <w:snapToGrid w:val="0"/>
        <w:spacing w:line="560" w:lineRule="exact"/>
        <w:jc w:val="center"/>
        <w:rPr>
          <w:rFonts w:ascii="仿宋_GB2312" w:hAnsi="仿宋_GB2312" w:eastAsia="仿宋_GB2312" w:cs="仿宋_GB2312"/>
          <w:kern w:val="0"/>
          <w:sz w:val="32"/>
          <w:szCs w:val="32"/>
        </w:rPr>
      </w:pPr>
    </w:p>
    <w:p>
      <w:pPr>
        <w:snapToGrid w:val="0"/>
        <w:spacing w:line="560" w:lineRule="exact"/>
        <w:jc w:val="center"/>
        <w:rPr>
          <w:rFonts w:ascii="仿宋_GB2312" w:hAnsi="仿宋_GB2312" w:eastAsia="仿宋_GB2312" w:cs="仿宋_GB2312"/>
          <w:kern w:val="0"/>
          <w:sz w:val="32"/>
          <w:szCs w:val="32"/>
        </w:rPr>
      </w:pPr>
    </w:p>
    <w:p>
      <w:pPr>
        <w:snapToGrid w:val="0"/>
        <w:spacing w:line="560" w:lineRule="exact"/>
        <w:jc w:val="center"/>
        <w:rPr>
          <w:rFonts w:ascii="仿宋_GB2312" w:hAnsi="仿宋_GB2312" w:eastAsia="仿宋_GB2312" w:cs="仿宋_GB2312"/>
          <w:kern w:val="0"/>
          <w:sz w:val="32"/>
          <w:szCs w:val="32"/>
        </w:rPr>
      </w:pPr>
    </w:p>
    <w:p>
      <w:pPr>
        <w:snapToGrid w:val="0"/>
        <w:spacing w:line="560" w:lineRule="exact"/>
        <w:jc w:val="center"/>
        <w:rPr>
          <w:rFonts w:ascii="仿宋_GB2312" w:hAnsi="仿宋_GB2312" w:eastAsia="仿宋_GB2312" w:cs="仿宋_GB2312"/>
          <w:kern w:val="0"/>
          <w:sz w:val="32"/>
          <w:szCs w:val="32"/>
        </w:rPr>
      </w:pPr>
    </w:p>
    <w:p>
      <w:pPr>
        <w:snapToGrid w:val="0"/>
        <w:spacing w:line="560" w:lineRule="exact"/>
        <w:jc w:val="center"/>
        <w:rPr>
          <w:rFonts w:ascii="仿宋_GB2312" w:hAnsi="仿宋_GB2312" w:eastAsia="仿宋_GB2312" w:cs="仿宋_GB2312"/>
          <w:kern w:val="0"/>
          <w:sz w:val="32"/>
          <w:szCs w:val="32"/>
        </w:rPr>
      </w:pPr>
    </w:p>
    <w:p>
      <w:pPr>
        <w:snapToGrid w:val="0"/>
        <w:spacing w:line="560" w:lineRule="exact"/>
        <w:jc w:val="center"/>
        <w:rPr>
          <w:rFonts w:ascii="仿宋_GB2312" w:hAnsi="仿宋_GB2312" w:eastAsia="仿宋_GB2312" w:cs="仿宋_GB2312"/>
          <w:kern w:val="0"/>
          <w:sz w:val="32"/>
          <w:szCs w:val="32"/>
        </w:rPr>
      </w:pP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0"/>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napToGrid w:val="0"/>
        <w:spacing w:line="560" w:lineRule="exact"/>
        <w:jc w:val="left"/>
        <w:rPr>
          <w:rFonts w:ascii="仿宋_GB2312" w:hAnsi="仿宋_GB2312" w:eastAsia="仿宋_GB2312" w:cs="仿宋_GB2312"/>
          <w:kern w:val="0"/>
          <w:sz w:val="32"/>
          <w:szCs w:val="32"/>
        </w:rPr>
      </w:pPr>
    </w:p>
    <w:sectPr>
      <w:footerReference r:id="rId3" w:type="default"/>
      <w:pgSz w:w="11906" w:h="16838"/>
      <w:pgMar w:top="1928" w:right="1474" w:bottom="1984" w:left="1587" w:header="567" w:footer="567"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2F7BD7-5A9B-40F1-9DEC-8E643C0C2D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2" w:fontKey="{C6012358-A154-4720-9D97-C896FC1A641F}"/>
  </w:font>
  <w:font w:name="仿宋_GB2312">
    <w:panose1 w:val="02010609030101010101"/>
    <w:charset w:val="86"/>
    <w:family w:val="modern"/>
    <w:pitch w:val="default"/>
    <w:sig w:usb0="00000001" w:usb1="080E0000" w:usb2="00000000" w:usb3="00000000" w:csb0="00040000" w:csb1="00000000"/>
    <w:embedRegular r:id="rId3" w:fontKey="{A7E6B0B9-A1C9-4593-BDC3-05395199E476}"/>
  </w:font>
  <w:font w:name="仿宋">
    <w:panose1 w:val="02010609060101010101"/>
    <w:charset w:val="86"/>
    <w:family w:val="modern"/>
    <w:pitch w:val="default"/>
    <w:sig w:usb0="800002BF" w:usb1="38CF7CFA" w:usb2="00000016" w:usb3="00000000" w:csb0="00040001" w:csb1="00000000"/>
    <w:embedRegular r:id="rId4" w:fontKey="{1E303C83-AF53-4508-9046-ADE0DA9E1887}"/>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5" w:fontKey="{B61D0800-35C7-4E58-83E7-B4DC73C3CD36}"/>
  </w:font>
  <w:font w:name="楷体">
    <w:panose1 w:val="02010609060101010101"/>
    <w:charset w:val="86"/>
    <w:family w:val="modern"/>
    <w:pitch w:val="default"/>
    <w:sig w:usb0="800002BF" w:usb1="38CF7CFA" w:usb2="00000016" w:usb3="00000000" w:csb0="00040001" w:csb1="00000000"/>
    <w:embedRegular r:id="rId6" w:fontKey="{A438C071-0970-4C88-8CEF-65C423FA748B}"/>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D67F1"/>
    <w:rsid w:val="000E0178"/>
    <w:rsid w:val="000E3136"/>
    <w:rsid w:val="0011519B"/>
    <w:rsid w:val="00162D26"/>
    <w:rsid w:val="001D6239"/>
    <w:rsid w:val="002902DD"/>
    <w:rsid w:val="002A0A1C"/>
    <w:rsid w:val="002A70C4"/>
    <w:rsid w:val="002C71E2"/>
    <w:rsid w:val="00326531"/>
    <w:rsid w:val="003B4983"/>
    <w:rsid w:val="003C0156"/>
    <w:rsid w:val="003F1BC3"/>
    <w:rsid w:val="00401F3C"/>
    <w:rsid w:val="004435CC"/>
    <w:rsid w:val="00474130"/>
    <w:rsid w:val="004E4B2B"/>
    <w:rsid w:val="00536018"/>
    <w:rsid w:val="005449FA"/>
    <w:rsid w:val="0054681F"/>
    <w:rsid w:val="00547E9F"/>
    <w:rsid w:val="00566030"/>
    <w:rsid w:val="005C38E2"/>
    <w:rsid w:val="005C6DC8"/>
    <w:rsid w:val="0069274E"/>
    <w:rsid w:val="006C55AC"/>
    <w:rsid w:val="007069F9"/>
    <w:rsid w:val="00730153"/>
    <w:rsid w:val="007B7BBF"/>
    <w:rsid w:val="008150C9"/>
    <w:rsid w:val="00850521"/>
    <w:rsid w:val="00854C04"/>
    <w:rsid w:val="008577EC"/>
    <w:rsid w:val="00866118"/>
    <w:rsid w:val="008745C9"/>
    <w:rsid w:val="008B1554"/>
    <w:rsid w:val="008C65D2"/>
    <w:rsid w:val="00902B6A"/>
    <w:rsid w:val="009068B7"/>
    <w:rsid w:val="00924BC5"/>
    <w:rsid w:val="00991005"/>
    <w:rsid w:val="00996968"/>
    <w:rsid w:val="00A23005"/>
    <w:rsid w:val="00A84DA1"/>
    <w:rsid w:val="00AA39A5"/>
    <w:rsid w:val="00AD2F13"/>
    <w:rsid w:val="00AE4481"/>
    <w:rsid w:val="00AF3D51"/>
    <w:rsid w:val="00BD48C2"/>
    <w:rsid w:val="00C435AD"/>
    <w:rsid w:val="00C6294B"/>
    <w:rsid w:val="00C82964"/>
    <w:rsid w:val="00CF4166"/>
    <w:rsid w:val="00D14258"/>
    <w:rsid w:val="00D40D26"/>
    <w:rsid w:val="00DA4C85"/>
    <w:rsid w:val="00E24DD2"/>
    <w:rsid w:val="00E72466"/>
    <w:rsid w:val="00E83238"/>
    <w:rsid w:val="00EB03AE"/>
    <w:rsid w:val="00EE1DD3"/>
    <w:rsid w:val="00F812DD"/>
    <w:rsid w:val="00F83D6D"/>
    <w:rsid w:val="00FE2FC0"/>
    <w:rsid w:val="01B06D1D"/>
    <w:rsid w:val="023340C8"/>
    <w:rsid w:val="03923DE0"/>
    <w:rsid w:val="05B9052D"/>
    <w:rsid w:val="09023CF6"/>
    <w:rsid w:val="0DBC0BBA"/>
    <w:rsid w:val="0E76520D"/>
    <w:rsid w:val="11230F50"/>
    <w:rsid w:val="116D239E"/>
    <w:rsid w:val="13E76BAD"/>
    <w:rsid w:val="14E46C49"/>
    <w:rsid w:val="15BF0540"/>
    <w:rsid w:val="15CD24D5"/>
    <w:rsid w:val="161D3B2C"/>
    <w:rsid w:val="18EC16B7"/>
    <w:rsid w:val="1A3B61CF"/>
    <w:rsid w:val="1A4C59BC"/>
    <w:rsid w:val="21532EC4"/>
    <w:rsid w:val="24D97E4C"/>
    <w:rsid w:val="2BBB3549"/>
    <w:rsid w:val="2F6D7037"/>
    <w:rsid w:val="324F79A0"/>
    <w:rsid w:val="362A0508"/>
    <w:rsid w:val="371E780B"/>
    <w:rsid w:val="372E04CB"/>
    <w:rsid w:val="3795122B"/>
    <w:rsid w:val="38852D43"/>
    <w:rsid w:val="390F70E1"/>
    <w:rsid w:val="39E92488"/>
    <w:rsid w:val="3B884663"/>
    <w:rsid w:val="3BFA116E"/>
    <w:rsid w:val="3C6D6E86"/>
    <w:rsid w:val="3EDD41EC"/>
    <w:rsid w:val="40EE65D6"/>
    <w:rsid w:val="41F8770C"/>
    <w:rsid w:val="455F7AA2"/>
    <w:rsid w:val="45E16709"/>
    <w:rsid w:val="4650565F"/>
    <w:rsid w:val="48A47285"/>
    <w:rsid w:val="50111E39"/>
    <w:rsid w:val="507F3EA0"/>
    <w:rsid w:val="50B769E4"/>
    <w:rsid w:val="52086EFD"/>
    <w:rsid w:val="52DE290D"/>
    <w:rsid w:val="5A79292D"/>
    <w:rsid w:val="5B290B78"/>
    <w:rsid w:val="5E5D0BCB"/>
    <w:rsid w:val="60D5619C"/>
    <w:rsid w:val="66533C9C"/>
    <w:rsid w:val="68925915"/>
    <w:rsid w:val="694B3E8B"/>
    <w:rsid w:val="6A2F3F66"/>
    <w:rsid w:val="6C4038DA"/>
    <w:rsid w:val="6E22773B"/>
    <w:rsid w:val="7B851309"/>
    <w:rsid w:val="7D5078E4"/>
    <w:rsid w:val="7D7B196D"/>
    <w:rsid w:val="7EEB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4"/>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1">
    <w:name w:val="Default Paragraph Font"/>
    <w:autoRedefine/>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1"/>
    <w:autoRedefine/>
    <w:qFormat/>
    <w:uiPriority w:val="0"/>
    <w:pPr>
      <w:autoSpaceDE w:val="0"/>
      <w:autoSpaceDN w:val="0"/>
      <w:jc w:val="left"/>
    </w:pPr>
    <w:rPr>
      <w:rFonts w:ascii="仿宋_GB2312" w:hAnsi="仿宋_GB2312" w:cs="仿宋_GB2312"/>
      <w:kern w:val="0"/>
      <w:lang w:val="zh-CN" w:bidi="zh-CN"/>
    </w:rPr>
  </w:style>
  <w:style w:type="paragraph" w:styleId="6">
    <w:name w:val="Body Text Indent 2"/>
    <w:basedOn w:val="1"/>
    <w:link w:val="15"/>
    <w:autoRedefine/>
    <w:qFormat/>
    <w:uiPriority w:val="0"/>
    <w:pPr>
      <w:spacing w:after="120" w:line="480" w:lineRule="auto"/>
      <w:ind w:left="420" w:leftChars="200"/>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3"/>
    <w:autoRedefine/>
    <w:unhideWhenUsed/>
    <w:qFormat/>
    <w:uiPriority w:val="99"/>
    <w:pPr>
      <w:tabs>
        <w:tab w:val="center" w:pos="4153"/>
        <w:tab w:val="right" w:pos="8306"/>
      </w:tabs>
      <w:snapToGrid w:val="0"/>
      <w:jc w:val="left"/>
    </w:pPr>
    <w:rPr>
      <w:sz w:val="18"/>
      <w:szCs w:val="18"/>
    </w:rPr>
  </w:style>
  <w:style w:type="paragraph" w:styleId="9">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autoRedefine/>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4 Char"/>
    <w:basedOn w:val="11"/>
    <w:link w:val="3"/>
    <w:qFormat/>
    <w:uiPriority w:val="9"/>
    <w:rPr>
      <w:rFonts w:ascii="Cambria" w:hAnsi="Cambria"/>
      <w:b/>
      <w:kern w:val="0"/>
      <w:sz w:val="28"/>
      <w:szCs w:val="20"/>
    </w:rPr>
  </w:style>
  <w:style w:type="character" w:customStyle="1" w:styleId="15">
    <w:name w:val="正文文本缩进 2 Char"/>
    <w:basedOn w:val="11"/>
    <w:link w:val="6"/>
    <w:autoRedefine/>
    <w:qFormat/>
    <w:uiPriority w:val="0"/>
  </w:style>
  <w:style w:type="paragraph" w:customStyle="1" w:styleId="16">
    <w:name w:val="表格"/>
    <w:basedOn w:val="1"/>
    <w:qFormat/>
    <w:uiPriority w:val="0"/>
    <w:pPr>
      <w:jc w:val="center"/>
    </w:pPr>
    <w:rPr>
      <w:rFonts w:ascii="仿宋" w:hAnsi="仿宋" w:eastAsia="仿宋"/>
      <w:szCs w:val="21"/>
    </w:rPr>
  </w:style>
  <w:style w:type="character" w:customStyle="1" w:styleId="17">
    <w:name w:val="批注框文本 Char"/>
    <w:basedOn w:val="11"/>
    <w:link w:val="7"/>
    <w:autoRedefine/>
    <w:semiHidden/>
    <w:qFormat/>
    <w:uiPriority w:val="99"/>
    <w:rPr>
      <w:kern w:val="2"/>
      <w:sz w:val="18"/>
      <w:szCs w:val="18"/>
    </w:rPr>
  </w:style>
  <w:style w:type="character" w:customStyle="1" w:styleId="18">
    <w:name w:val="font71"/>
    <w:basedOn w:val="11"/>
    <w:qFormat/>
    <w:uiPriority w:val="0"/>
    <w:rPr>
      <w:rFonts w:hint="eastAsia" w:ascii="宋体" w:hAnsi="宋体" w:eastAsia="宋体" w:cs="宋体"/>
      <w:b/>
      <w:bCs/>
      <w:color w:val="000000"/>
      <w:sz w:val="22"/>
      <w:szCs w:val="22"/>
      <w:u w:val="none"/>
    </w:rPr>
  </w:style>
  <w:style w:type="character" w:customStyle="1" w:styleId="19">
    <w:name w:val="font31"/>
    <w:basedOn w:val="11"/>
    <w:autoRedefine/>
    <w:qFormat/>
    <w:uiPriority w:val="0"/>
    <w:rPr>
      <w:rFonts w:hint="eastAsia" w:ascii="微软雅黑" w:hAnsi="微软雅黑" w:eastAsia="微软雅黑" w:cs="微软雅黑"/>
      <w:color w:val="000000"/>
      <w:sz w:val="20"/>
      <w:szCs w:val="20"/>
      <w:u w:val="none"/>
    </w:rPr>
  </w:style>
  <w:style w:type="character" w:customStyle="1" w:styleId="20">
    <w:name w:val="font81"/>
    <w:basedOn w:val="11"/>
    <w:autoRedefine/>
    <w:qFormat/>
    <w:uiPriority w:val="0"/>
    <w:rPr>
      <w:rFonts w:hint="eastAsia" w:ascii="宋体" w:hAnsi="宋体" w:eastAsia="宋体" w:cs="宋体"/>
      <w:color w:val="000000"/>
      <w:sz w:val="20"/>
      <w:szCs w:val="20"/>
      <w:u w:val="none"/>
    </w:rPr>
  </w:style>
  <w:style w:type="character" w:customStyle="1" w:styleId="21">
    <w:name w:val="font61"/>
    <w:basedOn w:val="11"/>
    <w:autoRedefine/>
    <w:qFormat/>
    <w:uiPriority w:val="0"/>
    <w:rPr>
      <w:rFonts w:hint="eastAsia" w:ascii="宋体" w:hAnsi="宋体" w:eastAsia="宋体" w:cs="宋体"/>
      <w:b/>
      <w:bCs/>
      <w:color w:val="000000"/>
      <w:sz w:val="24"/>
      <w:szCs w:val="24"/>
      <w:u w:val="none"/>
    </w:rPr>
  </w:style>
  <w:style w:type="character" w:customStyle="1" w:styleId="22">
    <w:name w:val="font01"/>
    <w:basedOn w:val="11"/>
    <w:qFormat/>
    <w:uiPriority w:val="0"/>
    <w:rPr>
      <w:rFonts w:hint="eastAsia" w:ascii="宋体" w:hAnsi="宋体" w:eastAsia="宋体" w:cs="宋体"/>
      <w:color w:val="000000"/>
      <w:sz w:val="24"/>
      <w:szCs w:val="24"/>
      <w:u w:val="none"/>
    </w:rPr>
  </w:style>
  <w:style w:type="character" w:customStyle="1" w:styleId="23">
    <w:name w:val="font11"/>
    <w:basedOn w:val="11"/>
    <w:autoRedefine/>
    <w:qFormat/>
    <w:uiPriority w:val="0"/>
    <w:rPr>
      <w:rFonts w:hint="eastAsia" w:ascii="宋体" w:hAnsi="宋体" w:eastAsia="宋体" w:cs="宋体"/>
      <w:b/>
      <w:bCs/>
      <w:color w:val="000000"/>
      <w:sz w:val="24"/>
      <w:szCs w:val="24"/>
      <w:u w:val="none"/>
    </w:rPr>
  </w:style>
  <w:style w:type="character" w:customStyle="1" w:styleId="24">
    <w:name w:val="font21"/>
    <w:basedOn w:val="11"/>
    <w:qFormat/>
    <w:uiPriority w:val="0"/>
    <w:rPr>
      <w:rFonts w:ascii="微软雅黑" w:hAnsi="微软雅黑" w:eastAsia="微软雅黑" w:cs="微软雅黑"/>
      <w:color w:val="000000"/>
      <w:sz w:val="20"/>
      <w:szCs w:val="20"/>
      <w:u w:val="none"/>
    </w:rPr>
  </w:style>
  <w:style w:type="paragraph" w:customStyle="1" w:styleId="25">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436</Words>
  <Characters>2486</Characters>
  <Lines>20</Lines>
  <Paragraphs>5</Paragraphs>
  <TotalTime>75</TotalTime>
  <ScaleCrop>false</ScaleCrop>
  <LinksUpToDate>false</LinksUpToDate>
  <CharactersWithSpaces>2917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dcterms:modified xsi:type="dcterms:W3CDTF">2024-04-11T01:06:36Z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BE8D5BE0FD3B4E54959B92C6713FF7F6_13</vt:lpwstr>
  </property>
</Properties>
</file>