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仿宋" w:eastAsia="方正小标宋_GBK" w:cs="仿宋"/>
          <w:sz w:val="44"/>
          <w:szCs w:val="44"/>
          <w:lang w:val="en-US" w:eastAsia="zh-CN"/>
        </w:rPr>
      </w:pPr>
      <w:bookmarkStart w:id="0" w:name="_GoBack"/>
      <w:r>
        <w:rPr>
          <w:rFonts w:hint="eastAsia" w:ascii="方正小标宋_GBK" w:hAnsi="仿宋" w:eastAsia="方正小标宋_GBK" w:cs="仿宋"/>
          <w:sz w:val="44"/>
          <w:szCs w:val="44"/>
        </w:rPr>
        <w:t>跨海大桥高架路二期剩余匝道工程双院制</w:t>
      </w:r>
      <w:r>
        <w:rPr>
          <w:rFonts w:hint="eastAsia" w:ascii="方正小标宋_GBK" w:hAnsi="仿宋" w:eastAsia="方正小标宋_GBK" w:cs="仿宋"/>
          <w:sz w:val="44"/>
          <w:szCs w:val="44"/>
          <w:lang w:eastAsia="zh-CN"/>
        </w:rPr>
        <w:t>审查</w:t>
      </w:r>
      <w:r>
        <w:rPr>
          <w:rFonts w:hint="eastAsia" w:ascii="方正小标宋_GBK" w:hAnsi="仿宋" w:eastAsia="方正小标宋_GBK" w:cs="仿宋"/>
          <w:sz w:val="44"/>
          <w:szCs w:val="44"/>
        </w:rPr>
        <w:t>询价</w:t>
      </w:r>
      <w:r>
        <w:rPr>
          <w:rFonts w:hint="eastAsia" w:ascii="方正小标宋_GBK" w:hAnsi="仿宋" w:eastAsia="方正小标宋_GBK" w:cs="仿宋"/>
          <w:sz w:val="44"/>
          <w:szCs w:val="44"/>
          <w:lang w:val="en-US" w:eastAsia="zh-CN"/>
        </w:rPr>
        <w:t>采购公告</w:t>
      </w:r>
    </w:p>
    <w:bookmarkEnd w:id="0"/>
    <w:p>
      <w:pPr>
        <w:pStyle w:val="7"/>
      </w:pP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黑体" w:hAnsi="黑体" w:eastAsia="黑体" w:cs="黑体"/>
          <w:kern w:val="0"/>
          <w:sz w:val="32"/>
          <w:szCs w:val="32"/>
        </w:rPr>
      </w:pPr>
      <w:r>
        <w:rPr>
          <w:rFonts w:ascii="黑体" w:hAnsi="黑体" w:eastAsia="黑体" w:cs="黑体"/>
          <w:kern w:val="0"/>
          <w:sz w:val="32"/>
          <w:szCs w:val="32"/>
        </w:rPr>
        <w:t>一、</w:t>
      </w:r>
      <w:r>
        <w:rPr>
          <w:rFonts w:hint="eastAsia" w:ascii="黑体" w:hAnsi="黑体" w:eastAsia="黑体" w:cs="黑体"/>
          <w:kern w:val="0"/>
          <w:sz w:val="32"/>
          <w:szCs w:val="32"/>
        </w:rPr>
        <w:t>项目基本情况</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1.采购单位：</w:t>
      </w:r>
      <w:r>
        <w:rPr>
          <w:rFonts w:hint="eastAsia" w:ascii="仿宋_GB2312" w:hAnsi="宋体" w:eastAsia="仿宋_GB2312" w:cs="宋体"/>
          <w:kern w:val="0"/>
          <w:sz w:val="32"/>
          <w:szCs w:val="32"/>
        </w:rPr>
        <w:t>青岛城投路桥投资发展有限公司</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宋体" w:eastAsia="仿宋_GB2312" w:cs="宋体"/>
          <w:kern w:val="0"/>
          <w:sz w:val="32"/>
          <w:szCs w:val="32"/>
          <w:u w:val="single"/>
          <w:lang w:eastAsia="zh-CN"/>
        </w:rPr>
      </w:pPr>
      <w:r>
        <w:rPr>
          <w:rFonts w:hint="eastAsia" w:ascii="仿宋_GB2312" w:hAnsi="宋体" w:eastAsia="仿宋_GB2312" w:cs="宋体"/>
          <w:kern w:val="0"/>
          <w:sz w:val="32"/>
          <w:szCs w:val="32"/>
          <w:lang w:val="zh-CN"/>
        </w:rPr>
        <w:t>2.</w:t>
      </w:r>
      <w:r>
        <w:rPr>
          <w:rFonts w:hint="eastAsia" w:ascii="仿宋_GB2312" w:hAnsi="仿宋_GB2312" w:eastAsia="仿宋_GB2312" w:cs="仿宋_GB2312"/>
          <w:kern w:val="0"/>
          <w:sz w:val="32"/>
          <w:szCs w:val="32"/>
        </w:rPr>
        <w:t>服务名称：</w:t>
      </w:r>
      <w:r>
        <w:rPr>
          <w:rFonts w:hint="eastAsia" w:ascii="仿宋_GB2312" w:hAnsi="宋体" w:eastAsia="仿宋_GB2312" w:cs="宋体"/>
          <w:kern w:val="0"/>
          <w:sz w:val="32"/>
          <w:szCs w:val="32"/>
        </w:rPr>
        <w:t>跨海大桥高架路二期-青银高速立交剩余匝道及地面道路工程双院制</w:t>
      </w:r>
      <w:r>
        <w:rPr>
          <w:rFonts w:hint="eastAsia" w:ascii="仿宋_GB2312" w:hAnsi="宋体" w:eastAsia="仿宋_GB2312" w:cs="宋体"/>
          <w:kern w:val="0"/>
          <w:sz w:val="32"/>
          <w:szCs w:val="32"/>
          <w:lang w:eastAsia="zh-CN"/>
        </w:rPr>
        <w:t>审查</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3.项目概况：</w:t>
      </w:r>
      <w:r>
        <w:rPr>
          <w:rFonts w:hint="eastAsia" w:ascii="仿宋_GB2312" w:hAnsi="仿宋_GB2312" w:eastAsia="仿宋_GB2312" w:cs="仿宋_GB2312"/>
          <w:sz w:val="32"/>
          <w:szCs w:val="32"/>
        </w:rPr>
        <w:t>跨海大桥高架路二期-青银高速立交剩余5条匝道（南向西定向匝道、南向东定向匝道、北向东环形匝道、北向西接地匝道、东向北定向匝道）、青银高速东半幅辅助车道以及立交区规划滁州路地面道路。匝道总长2185米，辅助车道长765米，地面道路长230米，以及青银高速东收费站改造工程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主要建设内容包括道路、桥梁、管线、环境整治、交通设施、收费站改造等工程。</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4.服务内容：本项目涉及高速公路路线、路基、路面、桥梁涵洞工程、交叉工程、交通工程及沿线设施、绿化及环境保护工程等施工图设计双院制审查咨询服务。</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.服务地点：崂山区</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.采购预算：</w:t>
      </w:r>
      <w:r>
        <w:rPr>
          <w:rFonts w:hint="eastAsia" w:ascii="仿宋_GB2312" w:hAnsi="仿宋_GB2312" w:eastAsia="仿宋_GB2312" w:cs="仿宋_GB2312"/>
          <w:sz w:val="32"/>
          <w:szCs w:val="32"/>
          <w:lang w:val="en-US" w:eastAsia="zh-CN"/>
        </w:rPr>
        <w:t>49.5</w:t>
      </w:r>
      <w:r>
        <w:rPr>
          <w:rFonts w:hint="default" w:ascii="仿宋_GB2312" w:hAnsi="仿宋_GB2312" w:eastAsia="仿宋_GB2312" w:cs="仿宋_GB2312"/>
          <w:sz w:val="32"/>
          <w:szCs w:val="32"/>
          <w:lang w:val="en-US" w:eastAsia="zh-CN"/>
        </w:rPr>
        <w:t>万元。</w:t>
      </w:r>
    </w:p>
    <w:p>
      <w:pPr>
        <w:keepNext w:val="0"/>
        <w:keepLines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7.中标选取方式：合理低价中标,如出现最低报价相同，选择有效最低报价单位所提供业绩中单一合同的合同额最高者作为中标单位。</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二、报价人的资格要求</w:t>
      </w:r>
    </w:p>
    <w:p>
      <w:pPr>
        <w:pStyle w:val="2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zh-CN"/>
        </w:rPr>
        <w:t>1.</w:t>
      </w:r>
      <w:r>
        <w:rPr>
          <w:rFonts w:hint="eastAsia" w:ascii="仿宋_GB2312" w:hAnsi="宋体" w:eastAsia="仿宋_GB2312" w:cs="宋体"/>
          <w:kern w:val="0"/>
          <w:sz w:val="32"/>
          <w:szCs w:val="32"/>
        </w:rPr>
        <w:t>在中华人民共和国境内注册，</w:t>
      </w:r>
      <w:r>
        <w:rPr>
          <w:rFonts w:hint="eastAsia" w:ascii="仿宋_GB2312" w:hAnsi="宋体" w:eastAsia="仿宋_GB2312" w:cs="宋体"/>
          <w:kern w:val="0"/>
          <w:sz w:val="32"/>
          <w:szCs w:val="32"/>
          <w:lang w:eastAsia="zh-CN"/>
        </w:rPr>
        <w:t>具有独立法人资格；</w:t>
      </w:r>
    </w:p>
    <w:p>
      <w:pPr>
        <w:pStyle w:val="2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2.须</w:t>
      </w:r>
      <w:r>
        <w:rPr>
          <w:rFonts w:hint="eastAsia" w:ascii="仿宋_GB2312" w:hAnsi="宋体" w:eastAsia="仿宋_GB2312" w:cs="宋体"/>
          <w:kern w:val="0"/>
          <w:sz w:val="32"/>
          <w:szCs w:val="32"/>
        </w:rPr>
        <w:t>具</w:t>
      </w:r>
      <w:r>
        <w:rPr>
          <w:rFonts w:hint="eastAsia" w:ascii="仿宋_GB2312" w:hAnsi="宋体" w:eastAsia="仿宋_GB2312" w:cs="宋体"/>
          <w:kern w:val="0"/>
          <w:sz w:val="32"/>
          <w:szCs w:val="32"/>
          <w:lang w:eastAsia="zh-CN"/>
        </w:rPr>
        <w:t>有</w:t>
      </w:r>
      <w:r>
        <w:rPr>
          <w:rFonts w:hint="eastAsia" w:ascii="仿宋_GB2312" w:hAnsi="宋体" w:eastAsia="仿宋_GB2312" w:cs="宋体"/>
          <w:kern w:val="0"/>
          <w:sz w:val="32"/>
          <w:szCs w:val="32"/>
        </w:rPr>
        <w:t>工程设计综合甲级</w:t>
      </w:r>
      <w:r>
        <w:rPr>
          <w:rFonts w:hint="eastAsia" w:ascii="仿宋_GB2312" w:hAnsi="宋体" w:eastAsia="仿宋_GB2312" w:cs="宋体"/>
          <w:kern w:val="0"/>
          <w:sz w:val="32"/>
          <w:szCs w:val="32"/>
          <w:highlight w:val="none"/>
        </w:rPr>
        <w:t>资质或公路行业设计甲级资质或公路专业设计甲级资质</w:t>
      </w:r>
      <w:r>
        <w:rPr>
          <w:rFonts w:hint="eastAsia" w:ascii="仿宋_GB2312" w:hAnsi="宋体" w:eastAsia="仿宋_GB2312" w:cs="宋体"/>
          <w:kern w:val="0"/>
          <w:sz w:val="32"/>
          <w:szCs w:val="32"/>
          <w:highlight w:val="none"/>
          <w:lang w:eastAsia="zh-CN"/>
        </w:rPr>
        <w:t>；</w:t>
      </w:r>
    </w:p>
    <w:p>
      <w:pPr>
        <w:pStyle w:val="25"/>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近三年（20</w:t>
      </w:r>
      <w:r>
        <w:rPr>
          <w:rFonts w:hint="eastAsia" w:ascii="仿宋_GB2312" w:hAnsi="宋体" w:eastAsia="仿宋_GB2312" w:cs="宋体"/>
          <w:kern w:val="0"/>
          <w:sz w:val="32"/>
          <w:szCs w:val="32"/>
          <w:lang w:val="en-US" w:eastAsia="zh-CN"/>
        </w:rPr>
        <w:t>21</w:t>
      </w:r>
      <w:r>
        <w:rPr>
          <w:rFonts w:hint="eastAsia" w:ascii="仿宋_GB2312" w:hAnsi="宋体" w:eastAsia="仿宋_GB2312" w:cs="宋体"/>
          <w:kern w:val="0"/>
          <w:sz w:val="32"/>
          <w:szCs w:val="32"/>
        </w:rPr>
        <w:t>年1月1日至今）承揽过单项合同金额</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万元及以上的双院制同类业绩。</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 w:hAnsi="仿宋" w:eastAsia="仿宋" w:cs="仿宋"/>
          <w:sz w:val="32"/>
          <w:szCs w:val="32"/>
        </w:rPr>
      </w:pPr>
      <w:r>
        <w:rPr>
          <w:rFonts w:hint="eastAsia" w:ascii="黑体" w:hAnsi="黑体" w:eastAsia="黑体" w:cs="黑体"/>
          <w:kern w:val="0"/>
          <w:sz w:val="32"/>
          <w:szCs w:val="32"/>
        </w:rPr>
        <w:t>三、服务要求</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服务范围</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双院制</w:t>
      </w:r>
      <w:r>
        <w:rPr>
          <w:rFonts w:hint="eastAsia" w:ascii="仿宋_GB2312" w:hAnsi="宋体" w:eastAsia="仿宋_GB2312" w:cs="宋体"/>
          <w:kern w:val="0"/>
          <w:sz w:val="32"/>
          <w:szCs w:val="32"/>
          <w:lang w:eastAsia="zh-CN"/>
        </w:rPr>
        <w:t>审查</w:t>
      </w:r>
      <w:r>
        <w:rPr>
          <w:rFonts w:hint="eastAsia" w:ascii="仿宋_GB2312" w:hAnsi="宋体" w:eastAsia="仿宋_GB2312" w:cs="宋体"/>
          <w:kern w:val="0"/>
          <w:sz w:val="32"/>
          <w:szCs w:val="32"/>
        </w:rPr>
        <w:t>咨询的服务范围</w:t>
      </w:r>
      <w:r>
        <w:rPr>
          <w:rFonts w:hint="eastAsia" w:ascii="仿宋_GB2312" w:hAnsi="宋体" w:eastAsia="仿宋_GB2312" w:cs="宋体"/>
          <w:kern w:val="0"/>
          <w:sz w:val="32"/>
          <w:szCs w:val="32"/>
          <w:lang w:eastAsia="zh-CN"/>
        </w:rPr>
        <w:t>为跨海大桥高架路二期-青银高速立交剩余匝道及地面道路工程施工图，具体以交通部门要求为准：</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服务内容</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(1)针对初步设计批复及执行情况进行符合性审查；</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rPr>
        <w:t>(2)对本</w:t>
      </w:r>
      <w:r>
        <w:rPr>
          <w:rFonts w:hint="eastAsia" w:ascii="仿宋_GB2312" w:hAnsi="宋体" w:eastAsia="仿宋_GB2312" w:cs="宋体"/>
          <w:kern w:val="0"/>
          <w:sz w:val="32"/>
          <w:szCs w:val="32"/>
          <w:highlight w:val="none"/>
        </w:rPr>
        <w:t>项目施工图设计文件中道路、桥梁、管线、景观、照明等内容进行审查咨询；</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(3)对于施工图资料收集的完整性、设计方案的合理性、安全性及技术指标掌握的合理性、施工图设计图表的完整性等方面提出咨询意见，并形成审查咨询(双院制咨询)报告。</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.服务文件要求</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(1)双院制咨询服务文件的编制应符合法律法规、规范标准的强制性规定和采购</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要求，相关双院制咨询服务依据应完整、准确、可靠，双院制咨询服务方案论证充分，计算成果规范可靠，并能够实施。</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(2)双院制咨询服务应根据法律、规范标准和采购</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要求，保证工程的合理使用寿命年限，并在双院制咨询服务文件中予以注明。</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(3)双院制咨询服务文件的深度应满足本合同相应勘察设计阶段的规定要求，满足采购</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的下步工作需要，并应符合国家和行业现行规定。</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highlight w:val="none"/>
        </w:rPr>
        <w:t>人员要求：</w:t>
      </w:r>
      <w:r>
        <w:rPr>
          <w:rFonts w:hint="eastAsia" w:ascii="仿宋_GB2312" w:hAnsi="宋体" w:eastAsia="仿宋_GB2312" w:cs="宋体"/>
          <w:kern w:val="0"/>
          <w:sz w:val="32"/>
          <w:szCs w:val="32"/>
          <w:highlight w:val="none"/>
          <w:lang w:val="zh-CN"/>
        </w:rPr>
        <w:t>项目负责人1人，须有公路工程相关专业高级工程师及以上技术职称；项目组成员（除项目负责人外）不少于</w:t>
      </w:r>
      <w:r>
        <w:rPr>
          <w:rFonts w:hint="eastAsia" w:ascii="仿宋_GB2312" w:hAnsi="宋体" w:eastAsia="仿宋_GB2312" w:cs="宋体"/>
          <w:kern w:val="0"/>
          <w:sz w:val="32"/>
          <w:szCs w:val="32"/>
          <w:highlight w:val="none"/>
          <w:lang w:val="en-US" w:eastAsia="zh-CN"/>
        </w:rPr>
        <w:t>2</w:t>
      </w:r>
      <w:r>
        <w:rPr>
          <w:rFonts w:hint="eastAsia" w:ascii="仿宋_GB2312" w:hAnsi="宋体" w:eastAsia="仿宋_GB2312" w:cs="宋体"/>
          <w:kern w:val="0"/>
          <w:sz w:val="32"/>
          <w:szCs w:val="32"/>
          <w:highlight w:val="none"/>
          <w:lang w:val="zh-CN"/>
        </w:rPr>
        <w:t>人，须具有公路工程相关专业中级及以上职称</w:t>
      </w:r>
      <w:r>
        <w:rPr>
          <w:rFonts w:hint="eastAsia" w:ascii="仿宋_GB2312" w:hAnsi="宋体" w:eastAsia="仿宋_GB2312" w:cs="宋体"/>
          <w:kern w:val="0"/>
          <w:sz w:val="32"/>
          <w:szCs w:val="32"/>
          <w:lang w:val="zh-CN"/>
        </w:rPr>
        <w:t>。</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lang w:val="zh-CN"/>
        </w:rPr>
        <w:t>.服务期限：自合同签订之日</w:t>
      </w:r>
      <w:r>
        <w:rPr>
          <w:rFonts w:hint="eastAsia" w:ascii="仿宋_GB2312" w:hAnsi="宋体" w:eastAsia="仿宋_GB2312" w:cs="宋体"/>
          <w:kern w:val="0"/>
          <w:sz w:val="32"/>
          <w:szCs w:val="32"/>
          <w:lang w:val="en-US" w:eastAsia="zh-CN"/>
        </w:rPr>
        <w:t>起</w:t>
      </w:r>
      <w:r>
        <w:rPr>
          <w:rFonts w:hint="eastAsia" w:ascii="仿宋_GB2312" w:hAnsi="宋体" w:eastAsia="仿宋_GB2312" w:cs="宋体"/>
          <w:kern w:val="0"/>
          <w:sz w:val="32"/>
          <w:szCs w:val="32"/>
          <w:lang w:val="zh-CN"/>
        </w:rPr>
        <w:t>30天内提交</w:t>
      </w:r>
      <w:r>
        <w:rPr>
          <w:rFonts w:hint="eastAsia" w:ascii="仿宋_GB2312" w:hAnsi="宋体" w:eastAsia="仿宋_GB2312" w:cs="宋体"/>
          <w:kern w:val="0"/>
          <w:sz w:val="32"/>
          <w:szCs w:val="32"/>
          <w:lang w:val="en-US" w:eastAsia="zh-CN"/>
        </w:rPr>
        <w:t>合格的咨询</w:t>
      </w:r>
      <w:r>
        <w:rPr>
          <w:rFonts w:hint="eastAsia" w:ascii="仿宋_GB2312" w:hAnsi="宋体" w:eastAsia="仿宋_GB2312" w:cs="宋体"/>
          <w:kern w:val="0"/>
          <w:sz w:val="32"/>
          <w:szCs w:val="32"/>
          <w:lang w:val="zh-CN"/>
        </w:rPr>
        <w:t>报告。</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lang w:val="zh-CN"/>
        </w:rPr>
        <w:t>.服务成果验收</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zh-CN"/>
        </w:rPr>
        <w:t>编制本项目双院制咨询报告，报告必须科学客观公正，咨询单位对咨询报告</w:t>
      </w:r>
      <w:r>
        <w:rPr>
          <w:rFonts w:hint="eastAsia" w:ascii="仿宋_GB2312" w:hAnsi="宋体" w:eastAsia="仿宋_GB2312" w:cs="宋体"/>
          <w:kern w:val="0"/>
          <w:sz w:val="32"/>
          <w:szCs w:val="32"/>
        </w:rPr>
        <w:t>的质量、客观性和准确性负责。咨询单位</w:t>
      </w:r>
      <w:r>
        <w:rPr>
          <w:rFonts w:hint="eastAsia" w:ascii="仿宋_GB2312" w:hAnsi="宋体" w:eastAsia="仿宋_GB2312" w:cs="宋体"/>
          <w:kern w:val="0"/>
          <w:sz w:val="32"/>
          <w:szCs w:val="32"/>
          <w:lang w:val="zh-CN"/>
        </w:rPr>
        <w:t>需协助采购单位完成与交通运输主管部门进行沟通并通过其审查，如评审提出意见，应对根据评审意见修改后的设计方案进行复核。</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四、报价要求</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1.报价应为含税全包价，包括完成提供上述服务的所有费用；</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eastAsia="仿宋_GB2312"/>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w:t>
      </w:r>
      <w:r>
        <w:rPr>
          <w:rFonts w:hint="eastAsia" w:ascii="仿宋_GB2312" w:eastAsia="仿宋_GB2312"/>
          <w:sz w:val="32"/>
          <w:szCs w:val="32"/>
        </w:rPr>
        <w:t>投标报价不得高于采购预算，否则投标报价无效。</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kern w:val="0"/>
          <w:sz w:val="32"/>
          <w:szCs w:val="32"/>
        </w:rPr>
      </w:pPr>
      <w:r>
        <w:rPr>
          <w:rFonts w:hint="eastAsia" w:ascii="仿宋_GB2312" w:eastAsia="仿宋_GB2312"/>
          <w:sz w:val="32"/>
          <w:szCs w:val="32"/>
          <w:lang w:val="en-US" w:eastAsia="zh-CN"/>
        </w:rPr>
        <w:t>3</w:t>
      </w:r>
      <w:r>
        <w:rPr>
          <w:rFonts w:hint="eastAsia" w:ascii="仿宋_GB2312" w:hAnsi="宋体" w:eastAsia="仿宋_GB2312" w:cs="宋体"/>
          <w:kern w:val="0"/>
          <w:sz w:val="32"/>
          <w:szCs w:val="32"/>
        </w:rPr>
        <w:t>.报价文件资料包括：营业执照（复印件）</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资质证明材料（复印件）</w:t>
      </w:r>
      <w:r>
        <w:rPr>
          <w:rFonts w:hint="eastAsia" w:ascii="仿宋_GB2312" w:hAnsi="宋体" w:eastAsia="仿宋_GB2312" w:cs="宋体"/>
          <w:kern w:val="0"/>
          <w:sz w:val="32"/>
          <w:szCs w:val="32"/>
          <w:lang w:eastAsia="zh-CN"/>
        </w:rPr>
        <w:t>；</w:t>
      </w:r>
      <w:r>
        <w:rPr>
          <w:rFonts w:hint="eastAsia" w:ascii="仿宋_GB2312" w:eastAsia="仿宋_GB2312"/>
          <w:sz w:val="32"/>
          <w:szCs w:val="32"/>
        </w:rPr>
        <w:t>同类合同业绩（复印件）</w:t>
      </w:r>
      <w:r>
        <w:rPr>
          <w:rFonts w:hint="eastAsia" w:ascii="仿宋_GB2312" w:eastAsia="仿宋_GB2312"/>
          <w:sz w:val="32"/>
          <w:szCs w:val="32"/>
          <w:lang w:eastAsia="zh-CN"/>
        </w:rPr>
        <w:t>；</w:t>
      </w:r>
      <w:r>
        <w:rPr>
          <w:rFonts w:hint="eastAsia" w:ascii="仿宋_GB2312" w:eastAsia="仿宋_GB2312"/>
          <w:sz w:val="32"/>
          <w:szCs w:val="32"/>
        </w:rPr>
        <w:t>法人身份证明或授权委托书（附件1）</w:t>
      </w:r>
      <w:r>
        <w:rPr>
          <w:rFonts w:hint="eastAsia" w:ascii="仿宋_GB2312" w:eastAsia="仿宋_GB2312"/>
          <w:sz w:val="32"/>
          <w:szCs w:val="32"/>
          <w:lang w:eastAsia="zh-CN"/>
        </w:rPr>
        <w:t>；</w:t>
      </w:r>
      <w:r>
        <w:rPr>
          <w:rFonts w:hint="eastAsia" w:ascii="仿宋_GB2312" w:eastAsia="仿宋_GB2312"/>
          <w:sz w:val="32"/>
          <w:szCs w:val="32"/>
        </w:rPr>
        <w:t>报价承诺函（附件2）</w:t>
      </w:r>
      <w:r>
        <w:rPr>
          <w:rFonts w:hint="eastAsia" w:ascii="仿宋_GB2312" w:eastAsia="仿宋_GB2312"/>
          <w:sz w:val="32"/>
          <w:szCs w:val="32"/>
          <w:lang w:eastAsia="zh-CN"/>
        </w:rPr>
        <w:t>；</w:t>
      </w:r>
      <w:r>
        <w:rPr>
          <w:rFonts w:hint="eastAsia" w:ascii="仿宋_GB2312" w:eastAsia="仿宋_GB2312"/>
          <w:sz w:val="32"/>
          <w:szCs w:val="32"/>
        </w:rPr>
        <w:t>报价</w:t>
      </w:r>
      <w:r>
        <w:rPr>
          <w:rFonts w:hint="eastAsia" w:ascii="仿宋_GB2312" w:eastAsia="仿宋_GB2312"/>
          <w:sz w:val="32"/>
          <w:szCs w:val="32"/>
          <w:lang w:val="en-US" w:eastAsia="zh-CN"/>
        </w:rPr>
        <w:t>单</w:t>
      </w:r>
      <w:r>
        <w:rPr>
          <w:rFonts w:hint="eastAsia" w:ascii="仿宋_GB2312" w:eastAsia="仿宋_GB2312"/>
          <w:sz w:val="32"/>
          <w:szCs w:val="32"/>
        </w:rPr>
        <w:t>（附件3）</w:t>
      </w:r>
      <w:r>
        <w:rPr>
          <w:rFonts w:hint="eastAsia" w:ascii="仿宋_GB2312" w:eastAsia="仿宋_GB2312"/>
          <w:sz w:val="32"/>
          <w:szCs w:val="32"/>
          <w:lang w:eastAsia="zh-CN"/>
        </w:rPr>
        <w:t>；</w:t>
      </w:r>
      <w:r>
        <w:rPr>
          <w:rFonts w:hint="eastAsia" w:ascii="仿宋_GB2312" w:eastAsia="仿宋_GB2312"/>
          <w:sz w:val="32"/>
          <w:szCs w:val="32"/>
        </w:rPr>
        <w:t>服务人员配备表（附件4）及人员身份证（复印件）、专业技术资格证书（复印件）、社保证明</w:t>
      </w:r>
      <w:r>
        <w:rPr>
          <w:rFonts w:hint="eastAsia" w:ascii="仿宋_GB2312" w:eastAsia="仿宋_GB2312"/>
          <w:sz w:val="32"/>
          <w:szCs w:val="32"/>
          <w:lang w:val="en-US" w:eastAsia="zh-CN"/>
        </w:rPr>
        <w:t>材料</w:t>
      </w:r>
      <w:r>
        <w:rPr>
          <w:rFonts w:hint="eastAsia" w:ascii="仿宋_GB2312" w:hAnsi="宋体" w:eastAsia="仿宋_GB2312" w:cs="宋体"/>
          <w:kern w:val="0"/>
          <w:sz w:val="32"/>
          <w:szCs w:val="32"/>
        </w:rPr>
        <w:t>等，</w:t>
      </w:r>
      <w:r>
        <w:rPr>
          <w:rFonts w:hint="eastAsia" w:ascii="仿宋_GB2312" w:eastAsia="仿宋_GB2312"/>
          <w:sz w:val="32"/>
          <w:szCs w:val="32"/>
        </w:rPr>
        <w:t>报价文件一式三份需加盖公章并装订成册。报价文件不满足询价采购公告要求的视为报价无效。</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.上述第</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条中要求的材料须放入一个密封件中提交，密封件包装袋封口处加盖单位公章。</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五、报价截止时间、形式</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1.报价截止时间：202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30</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val="en-US" w:eastAsia="zh-CN"/>
        </w:rPr>
        <w:t>上午9点整</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2.报价形式：报价文件采取邮寄或现场递交的形式。</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3.送达地点：青岛市崂山区香港东路195号上实中心T2办公楼6楼</w:t>
      </w:r>
      <w:r>
        <w:rPr>
          <w:rFonts w:hint="eastAsia" w:ascii="仿宋_GB2312" w:eastAsia="仿宋_GB2312"/>
          <w:sz w:val="32"/>
          <w:szCs w:val="32"/>
        </w:rPr>
        <w:t>，逾期提交或者未送达指定地点的报价文件不予接受。</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ascii="黑体" w:hAnsi="黑体" w:eastAsia="黑体" w:cs="黑体"/>
          <w:kern w:val="0"/>
          <w:sz w:val="32"/>
          <w:szCs w:val="32"/>
        </w:rPr>
      </w:pPr>
      <w:r>
        <w:rPr>
          <w:rFonts w:hint="eastAsia" w:ascii="黑体" w:hAnsi="黑体" w:eastAsia="黑体" w:cs="黑体"/>
          <w:kern w:val="0"/>
          <w:sz w:val="32"/>
          <w:szCs w:val="32"/>
        </w:rPr>
        <w:t>六、联系方式</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联系人:祁工</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电话：0532-6778179</w:t>
      </w:r>
      <w:r>
        <w:rPr>
          <w:rFonts w:hint="eastAsia" w:ascii="仿宋_GB2312" w:hAnsi="宋体" w:eastAsia="仿宋_GB2312" w:cs="宋体"/>
          <w:kern w:val="0"/>
          <w:sz w:val="32"/>
          <w:szCs w:val="32"/>
          <w:lang w:val="en-US" w:eastAsia="zh-CN"/>
        </w:rPr>
        <w:t>9</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附件：</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1.法人身份证明或授权委托书</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2.报价承诺函</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3.报价表</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4.服务人员配备表</w:t>
      </w:r>
    </w:p>
    <w:p>
      <w:pPr>
        <w:keepNext w:val="0"/>
        <w:keepLines w:val="0"/>
        <w:pageBreakBefore w:val="0"/>
        <w:widowControl/>
        <w:kinsoku/>
        <w:wordWrap/>
        <w:overflowPunct/>
        <w:topLinePunct w:val="0"/>
        <w:autoSpaceDE/>
        <w:autoSpaceDN/>
        <w:bidi w:val="0"/>
        <w:spacing w:line="560" w:lineRule="exact"/>
        <w:ind w:left="0" w:leftChars="0" w:firstLine="640" w:firstLineChars="200"/>
        <w:jc w:val="left"/>
        <w:textAlignment w:val="auto"/>
        <w:rPr>
          <w:rFonts w:hint="eastAsia" w:ascii="仿宋_GB2312" w:hAnsi="宋体" w:eastAsia="仿宋_GB2312" w:cs="宋体"/>
          <w:kern w:val="0"/>
          <w:sz w:val="32"/>
          <w:szCs w:val="32"/>
          <w:lang w:val="en-US" w:eastAsia="zh-CN"/>
        </w:rPr>
      </w:pPr>
    </w:p>
    <w:p>
      <w:pPr>
        <w:pStyle w:val="7"/>
        <w:keepNext w:val="0"/>
        <w:keepLines w:val="0"/>
        <w:pageBreakBefore w:val="0"/>
        <w:kinsoku/>
        <w:wordWrap/>
        <w:overflowPunct/>
        <w:topLinePunct w:val="0"/>
        <w:autoSpaceDE/>
        <w:autoSpaceDN/>
        <w:bidi w:val="0"/>
        <w:spacing w:after="0" w:line="560" w:lineRule="exact"/>
        <w:ind w:left="0" w:leftChars="0" w:firstLine="640" w:firstLineChars="200"/>
        <w:jc w:val="right"/>
        <w:textAlignment w:val="auto"/>
        <w:rPr>
          <w:rFonts w:ascii="仿宋_GB2312" w:hAnsi="宋体" w:eastAsia="仿宋_GB2312" w:cs="宋体"/>
          <w:kern w:val="0"/>
          <w:sz w:val="32"/>
          <w:szCs w:val="32"/>
          <w:highlight w:val="yellow"/>
        </w:rPr>
      </w:pPr>
    </w:p>
    <w:p>
      <w:pPr>
        <w:pStyle w:val="7"/>
        <w:keepNext w:val="0"/>
        <w:keepLines w:val="0"/>
        <w:pageBreakBefore w:val="0"/>
        <w:kinsoku/>
        <w:wordWrap/>
        <w:overflowPunct/>
        <w:topLinePunct w:val="0"/>
        <w:autoSpaceDE/>
        <w:autoSpaceDN/>
        <w:bidi w:val="0"/>
        <w:spacing w:after="0" w:line="560" w:lineRule="exact"/>
        <w:ind w:left="0" w:leftChars="0" w:firstLine="640" w:firstLineChars="200"/>
        <w:jc w:val="right"/>
        <w:textAlignment w:val="auto"/>
        <w:rPr>
          <w:rFonts w:ascii="仿宋_GB2312" w:hAnsi="宋体" w:eastAsia="仿宋_GB2312" w:cs="宋体"/>
          <w:kern w:val="0"/>
          <w:sz w:val="32"/>
          <w:szCs w:val="32"/>
          <w:highlight w:val="yellow"/>
        </w:rPr>
      </w:pPr>
    </w:p>
    <w:p>
      <w:pPr>
        <w:pStyle w:val="7"/>
        <w:keepNext w:val="0"/>
        <w:keepLines w:val="0"/>
        <w:pageBreakBefore w:val="0"/>
        <w:kinsoku/>
        <w:wordWrap/>
        <w:overflowPunct/>
        <w:topLinePunct w:val="0"/>
        <w:autoSpaceDE/>
        <w:autoSpaceDN/>
        <w:bidi w:val="0"/>
        <w:spacing w:after="0" w:line="560" w:lineRule="exact"/>
        <w:ind w:left="0" w:leftChars="0" w:firstLine="640" w:firstLineChars="200"/>
        <w:jc w:val="righ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青岛城投路桥投资发展有限公司</w:t>
      </w:r>
    </w:p>
    <w:p>
      <w:pPr>
        <w:pStyle w:val="7"/>
        <w:spacing w:after="0" w:line="560" w:lineRule="exact"/>
        <w:ind w:left="0" w:leftChars="0" w:firstLine="640" w:firstLineChars="200"/>
        <w:jc w:val="right"/>
        <w:rPr>
          <w:rFonts w:ascii="仿宋" w:hAnsi="仿宋" w:eastAsia="仿宋" w:cs="仿宋"/>
          <w:sz w:val="30"/>
          <w:szCs w:val="30"/>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 w:hAnsi="仿宋" w:eastAsia="仿宋"/>
          <w:sz w:val="32"/>
          <w:szCs w:val="32"/>
          <w:lang w:val="en-US" w:eastAsia="zh-CN"/>
        </w:rPr>
        <w:t>25</w:t>
      </w:r>
      <w:r>
        <w:rPr>
          <w:rFonts w:hint="eastAsia" w:ascii="仿宋_GB2312" w:hAnsi="宋体" w:eastAsia="仿宋_GB2312" w:cs="宋体"/>
          <w:kern w:val="0"/>
          <w:sz w:val="32"/>
          <w:szCs w:val="32"/>
        </w:rPr>
        <w:t>日</w:t>
      </w: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7"/>
      </w:pPr>
    </w:p>
    <w:p>
      <w:pPr>
        <w:pStyle w:val="7"/>
      </w:pPr>
    </w:p>
    <w:p>
      <w:pPr>
        <w:pStyle w:val="7"/>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jc w:val="both"/>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2"/>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宋体" w:eastAsia="仿宋_GB2312" w:cs="宋体"/>
          <w:kern w:val="0"/>
          <w:sz w:val="28"/>
          <w:szCs w:val="28"/>
          <w:u w:val="single"/>
        </w:rPr>
        <w:t>青岛城投路桥投资发展有限公司</w:t>
      </w:r>
    </w:p>
    <w:p>
      <w:pPr>
        <w:spacing w:line="360" w:lineRule="auto"/>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跨海大桥高架路二期-青银高速立交剩余匝道及地面道路工程双院制</w:t>
      </w:r>
      <w:r>
        <w:rPr>
          <w:rFonts w:hint="eastAsia" w:ascii="仿宋_GB2312" w:hAnsi="仿宋" w:eastAsia="仿宋_GB2312"/>
          <w:color w:val="000000"/>
          <w:sz w:val="28"/>
          <w:szCs w:val="28"/>
          <w:u w:val="single"/>
          <w:lang w:eastAsia="zh-CN"/>
        </w:rPr>
        <w:t>审查</w:t>
      </w:r>
      <w:r>
        <w:rPr>
          <w:rFonts w:hint="eastAsia" w:ascii="仿宋_GB2312" w:hAnsi="仿宋" w:eastAsia="仿宋_GB2312"/>
          <w:color w:val="000000"/>
          <w:sz w:val="28"/>
          <w:szCs w:val="28"/>
          <w:u w:val="single"/>
        </w:rPr>
        <w:t>询价</w:t>
      </w:r>
      <w:r>
        <w:rPr>
          <w:rFonts w:hint="eastAsia" w:ascii="仿宋_GB2312" w:hAnsi="仿宋" w:eastAsia="仿宋_GB2312"/>
          <w:color w:val="000000"/>
          <w:sz w:val="28"/>
          <w:szCs w:val="28"/>
        </w:rPr>
        <w:t>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7"/>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hint="eastAsia" w:ascii="仿宋_GB2312" w:hAnsi="宋体" w:eastAsia="仿宋_GB2312" w:cs="宋体"/>
          <w:kern w:val="0"/>
          <w:sz w:val="32"/>
          <w:szCs w:val="32"/>
        </w:rPr>
      </w:pPr>
    </w:p>
    <w:p>
      <w:pPr>
        <w:rPr>
          <w:rFonts w:hint="eastAsia" w:ascii="仿宋_GB2312" w:hAnsi="宋体" w:eastAsia="仿宋_GB2312" w:cs="宋体"/>
          <w:kern w:val="0"/>
          <w:sz w:val="32"/>
          <w:szCs w:val="32"/>
        </w:rPr>
      </w:pP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报价单</w:t>
      </w:r>
    </w:p>
    <w:p>
      <w:pPr>
        <w:pStyle w:val="2"/>
        <w:rPr>
          <w:rFonts w:hint="eastAsia"/>
        </w:rPr>
      </w:pPr>
    </w:p>
    <w:tbl>
      <w:tblPr>
        <w:tblStyle w:val="14"/>
        <w:tblW w:w="9457"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9"/>
        <w:gridCol w:w="5874"/>
        <w:gridCol w:w="1276"/>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8" w:hRule="atLeast"/>
        </w:trPr>
        <w:tc>
          <w:tcPr>
            <w:tcW w:w="789" w:type="dxa"/>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lang w:val="zh-CN"/>
              </w:rPr>
              <w:t>序</w:t>
            </w:r>
            <w:r>
              <w:rPr>
                <w:rFonts w:hint="eastAsia" w:ascii="仿宋" w:hAnsi="仿宋" w:eastAsia="仿宋" w:cs="仿宋"/>
                <w:b/>
                <w:lang w:val="en-US" w:eastAsia="zh-CN"/>
              </w:rPr>
              <w:t xml:space="preserve"> </w:t>
            </w:r>
            <w:r>
              <w:rPr>
                <w:rFonts w:hint="eastAsia" w:ascii="仿宋" w:hAnsi="仿宋" w:eastAsia="仿宋" w:cs="仿宋"/>
                <w:b/>
                <w:lang w:val="zh-CN"/>
              </w:rPr>
              <w:t>号</w:t>
            </w:r>
          </w:p>
        </w:tc>
        <w:tc>
          <w:tcPr>
            <w:tcW w:w="5874" w:type="dxa"/>
            <w:vAlign w:val="center"/>
          </w:tcPr>
          <w:p>
            <w:pPr>
              <w:spacing w:line="360" w:lineRule="exact"/>
              <w:jc w:val="center"/>
              <w:rPr>
                <w:rFonts w:hint="default" w:eastAsia="仿宋"/>
                <w:kern w:val="0"/>
                <w:sz w:val="24"/>
                <w:lang w:val="en-US" w:eastAsia="zh-CN"/>
              </w:rPr>
            </w:pPr>
            <w:r>
              <w:rPr>
                <w:rFonts w:hint="eastAsia" w:ascii="仿宋" w:hAnsi="仿宋" w:eastAsia="仿宋" w:cs="仿宋"/>
                <w:b/>
                <w:lang w:val="en-US" w:eastAsia="zh-CN"/>
              </w:rPr>
              <w:t>工作内容</w:t>
            </w:r>
          </w:p>
        </w:tc>
        <w:tc>
          <w:tcPr>
            <w:tcW w:w="1276" w:type="dxa"/>
            <w:vAlign w:val="center"/>
          </w:tcPr>
          <w:p>
            <w:pPr>
              <w:spacing w:line="460" w:lineRule="exact"/>
              <w:jc w:val="center"/>
              <w:rPr>
                <w:rFonts w:eastAsia="仿宋"/>
                <w:sz w:val="24"/>
                <w:lang w:val="zh-CN"/>
              </w:rPr>
            </w:pPr>
            <w:r>
              <w:rPr>
                <w:rFonts w:hint="eastAsia" w:ascii="仿宋" w:hAnsi="仿宋" w:eastAsia="仿宋" w:cs="仿宋"/>
                <w:b/>
              </w:rPr>
              <w:t>含税报价</w:t>
            </w:r>
            <w:r>
              <w:rPr>
                <w:rFonts w:hint="eastAsia" w:ascii="仿宋" w:hAnsi="仿宋" w:eastAsia="仿宋" w:cs="仿宋"/>
                <w:b/>
                <w:lang w:val="en-US" w:eastAsia="zh-CN"/>
              </w:rPr>
              <w:t>(元）</w:t>
            </w:r>
          </w:p>
        </w:tc>
        <w:tc>
          <w:tcPr>
            <w:tcW w:w="1518" w:type="dxa"/>
            <w:vAlign w:val="center"/>
          </w:tcPr>
          <w:p>
            <w:pPr>
              <w:tabs>
                <w:tab w:val="left" w:pos="1418"/>
              </w:tabs>
              <w:autoSpaceDE w:val="0"/>
              <w:autoSpaceDN w:val="0"/>
              <w:adjustRightInd w:val="0"/>
              <w:spacing w:line="360" w:lineRule="auto"/>
              <w:jc w:val="center"/>
              <w:rPr>
                <w:rFonts w:eastAsia="仿宋"/>
                <w:sz w:val="24"/>
                <w:lang w:val="zh-CN"/>
              </w:rPr>
            </w:pPr>
            <w:r>
              <w:rPr>
                <w:rFonts w:hint="eastAsia" w:ascii="仿宋" w:hAnsi="仿宋" w:eastAsia="仿宋" w:cs="仿宋"/>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1" w:hRule="atLeast"/>
        </w:trPr>
        <w:tc>
          <w:tcPr>
            <w:tcW w:w="789" w:type="dxa"/>
            <w:vAlign w:val="center"/>
          </w:tcPr>
          <w:p>
            <w:pPr>
              <w:autoSpaceDE w:val="0"/>
              <w:autoSpaceDN w:val="0"/>
              <w:adjustRightInd w:val="0"/>
              <w:spacing w:line="312" w:lineRule="auto"/>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w:t>
            </w:r>
          </w:p>
        </w:tc>
        <w:tc>
          <w:tcPr>
            <w:tcW w:w="5874" w:type="dxa"/>
            <w:vAlign w:val="center"/>
          </w:tcPr>
          <w:p>
            <w:pPr>
              <w:autoSpaceDE w:val="0"/>
              <w:autoSpaceDN w:val="0"/>
              <w:adjustRightInd w:val="0"/>
              <w:spacing w:line="312"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跨海大桥高架路二期-青银高速立交剩余匝道及地面道路工程双院制</w:t>
            </w:r>
            <w:r>
              <w:rPr>
                <w:rFonts w:hint="eastAsia" w:ascii="仿宋_GB2312" w:hAnsi="宋体" w:eastAsia="仿宋_GB2312" w:cs="宋体"/>
                <w:kern w:val="0"/>
                <w:sz w:val="32"/>
                <w:szCs w:val="32"/>
                <w:lang w:eastAsia="zh-CN"/>
              </w:rPr>
              <w:t>审查</w:t>
            </w:r>
          </w:p>
        </w:tc>
        <w:tc>
          <w:tcPr>
            <w:tcW w:w="1276" w:type="dxa"/>
            <w:vAlign w:val="center"/>
          </w:tcPr>
          <w:p>
            <w:pPr>
              <w:widowControl/>
              <w:jc w:val="center"/>
              <w:textAlignment w:val="center"/>
              <w:rPr>
                <w:rFonts w:eastAsia="仿宋"/>
                <w:szCs w:val="21"/>
              </w:rPr>
            </w:pPr>
          </w:p>
        </w:tc>
        <w:tc>
          <w:tcPr>
            <w:tcW w:w="1518" w:type="dxa"/>
            <w:vAlign w:val="center"/>
          </w:tcPr>
          <w:p>
            <w:pPr>
              <w:autoSpaceDE w:val="0"/>
              <w:autoSpaceDN w:val="0"/>
              <w:adjustRightInd w:val="0"/>
              <w:spacing w:line="312" w:lineRule="auto"/>
              <w:jc w:val="center"/>
              <w:rPr>
                <w:rFonts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6663" w:type="dxa"/>
            <w:gridSpan w:val="2"/>
            <w:vMerge w:val="restart"/>
            <w:vAlign w:val="center"/>
          </w:tcPr>
          <w:p>
            <w:pPr>
              <w:autoSpaceDE w:val="0"/>
              <w:autoSpaceDN w:val="0"/>
              <w:adjustRightInd w:val="0"/>
              <w:spacing w:line="312" w:lineRule="auto"/>
              <w:jc w:val="center"/>
              <w:rPr>
                <w:rFonts w:ascii="仿宋" w:eastAsia="仿宋" w:cs="仿宋"/>
                <w:szCs w:val="21"/>
              </w:rPr>
            </w:pPr>
            <w:r>
              <w:rPr>
                <w:rFonts w:hint="eastAsia" w:ascii="仿宋" w:eastAsia="仿宋" w:cs="仿宋"/>
                <w:szCs w:val="21"/>
              </w:rPr>
              <w:t>合  计</w:t>
            </w:r>
          </w:p>
        </w:tc>
        <w:tc>
          <w:tcPr>
            <w:tcW w:w="2794" w:type="dxa"/>
            <w:gridSpan w:val="2"/>
            <w:vAlign w:val="center"/>
          </w:tcPr>
          <w:p>
            <w:pPr>
              <w:autoSpaceDE w:val="0"/>
              <w:autoSpaceDN w:val="0"/>
              <w:adjustRightInd w:val="0"/>
              <w:spacing w:line="312" w:lineRule="auto"/>
              <w:jc w:val="both"/>
              <w:rPr>
                <w:rFonts w:hint="eastAsia" w:eastAsia="仿宋"/>
                <w:szCs w:val="21"/>
                <w:lang w:eastAsia="zh-CN"/>
              </w:rPr>
            </w:pPr>
            <w:r>
              <w:rPr>
                <w:rFonts w:hint="eastAsia" w:eastAsia="仿宋"/>
                <w:szCs w:val="21"/>
                <w:lang w:eastAsia="zh-CN"/>
              </w:rPr>
              <w:t>小写：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6663" w:type="dxa"/>
            <w:gridSpan w:val="2"/>
            <w:vMerge w:val="continue"/>
            <w:vAlign w:val="center"/>
          </w:tcPr>
          <w:p>
            <w:pPr>
              <w:autoSpaceDE w:val="0"/>
              <w:autoSpaceDN w:val="0"/>
              <w:adjustRightInd w:val="0"/>
              <w:spacing w:line="312" w:lineRule="auto"/>
              <w:jc w:val="center"/>
              <w:rPr>
                <w:rFonts w:hint="eastAsia" w:ascii="仿宋" w:eastAsia="仿宋" w:cs="仿宋"/>
                <w:szCs w:val="21"/>
              </w:rPr>
            </w:pPr>
          </w:p>
        </w:tc>
        <w:tc>
          <w:tcPr>
            <w:tcW w:w="2794" w:type="dxa"/>
            <w:gridSpan w:val="2"/>
            <w:vAlign w:val="center"/>
          </w:tcPr>
          <w:p>
            <w:pPr>
              <w:autoSpaceDE w:val="0"/>
              <w:autoSpaceDN w:val="0"/>
              <w:adjustRightInd w:val="0"/>
              <w:spacing w:line="312" w:lineRule="auto"/>
              <w:jc w:val="both"/>
              <w:rPr>
                <w:rFonts w:hint="eastAsia" w:eastAsia="仿宋"/>
                <w:szCs w:val="21"/>
                <w:lang w:eastAsia="zh-CN"/>
              </w:rPr>
            </w:pPr>
            <w:r>
              <w:rPr>
                <w:rFonts w:hint="eastAsia" w:eastAsia="仿宋"/>
                <w:szCs w:val="21"/>
                <w:lang w:eastAsia="zh-CN"/>
              </w:rPr>
              <w:t>大写：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w:t>
      </w:r>
      <w:r>
        <w:rPr>
          <w:rFonts w:hint="eastAsia" w:ascii="仿宋_GB2312" w:hAnsi="仿宋" w:eastAsia="仿宋_GB2312"/>
          <w:color w:val="000000"/>
          <w:sz w:val="28"/>
          <w:szCs w:val="28"/>
          <w:lang w:eastAsia="zh-CN"/>
        </w:rPr>
        <w:t>日</w:t>
      </w:r>
    </w:p>
    <w:p>
      <w:pPr>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14"/>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p>
      <w:pPr>
        <w:rPr>
          <w:rFonts w:ascii="仿宋_GB2312" w:hAnsi="宋体" w:eastAsia="仿宋_GB2312" w:cs="宋体"/>
          <w:kern w:val="0"/>
          <w:sz w:val="32"/>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31"/>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59264;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9"/>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31"/>
                    </w:pP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AA1245"/>
    <w:rsid w:val="000067F5"/>
    <w:rsid w:val="00011494"/>
    <w:rsid w:val="00021447"/>
    <w:rsid w:val="00035027"/>
    <w:rsid w:val="000734A4"/>
    <w:rsid w:val="000752C0"/>
    <w:rsid w:val="00076FF3"/>
    <w:rsid w:val="000820B8"/>
    <w:rsid w:val="0008713B"/>
    <w:rsid w:val="000975B7"/>
    <w:rsid w:val="000D2C33"/>
    <w:rsid w:val="00116147"/>
    <w:rsid w:val="00120A63"/>
    <w:rsid w:val="0013217D"/>
    <w:rsid w:val="0014290F"/>
    <w:rsid w:val="00153F66"/>
    <w:rsid w:val="00155364"/>
    <w:rsid w:val="00155EE1"/>
    <w:rsid w:val="0017075D"/>
    <w:rsid w:val="00174778"/>
    <w:rsid w:val="00183B54"/>
    <w:rsid w:val="001936F6"/>
    <w:rsid w:val="001A2789"/>
    <w:rsid w:val="001A66BD"/>
    <w:rsid w:val="001A6AF3"/>
    <w:rsid w:val="001B53F3"/>
    <w:rsid w:val="001C3604"/>
    <w:rsid w:val="001C7B37"/>
    <w:rsid w:val="001D5A89"/>
    <w:rsid w:val="001E557A"/>
    <w:rsid w:val="001F0FDB"/>
    <w:rsid w:val="001F6974"/>
    <w:rsid w:val="00200FE1"/>
    <w:rsid w:val="00220A3A"/>
    <w:rsid w:val="0023477E"/>
    <w:rsid w:val="00243CD9"/>
    <w:rsid w:val="00261F14"/>
    <w:rsid w:val="00263BA6"/>
    <w:rsid w:val="00266158"/>
    <w:rsid w:val="0027038C"/>
    <w:rsid w:val="0027584D"/>
    <w:rsid w:val="002765AF"/>
    <w:rsid w:val="00282410"/>
    <w:rsid w:val="0028340F"/>
    <w:rsid w:val="00291EA4"/>
    <w:rsid w:val="002956CD"/>
    <w:rsid w:val="002B0D43"/>
    <w:rsid w:val="002D13CA"/>
    <w:rsid w:val="00303B3A"/>
    <w:rsid w:val="00312272"/>
    <w:rsid w:val="003154C7"/>
    <w:rsid w:val="003237FC"/>
    <w:rsid w:val="003355A0"/>
    <w:rsid w:val="00356A56"/>
    <w:rsid w:val="00365897"/>
    <w:rsid w:val="00370B97"/>
    <w:rsid w:val="00370FEB"/>
    <w:rsid w:val="0039626E"/>
    <w:rsid w:val="003A6053"/>
    <w:rsid w:val="003B108A"/>
    <w:rsid w:val="003B39C6"/>
    <w:rsid w:val="003D5637"/>
    <w:rsid w:val="003F438A"/>
    <w:rsid w:val="003F59DD"/>
    <w:rsid w:val="00402009"/>
    <w:rsid w:val="00431684"/>
    <w:rsid w:val="004326AD"/>
    <w:rsid w:val="00436B83"/>
    <w:rsid w:val="00444994"/>
    <w:rsid w:val="00450F03"/>
    <w:rsid w:val="00457424"/>
    <w:rsid w:val="004748C9"/>
    <w:rsid w:val="00477BDD"/>
    <w:rsid w:val="004A3325"/>
    <w:rsid w:val="004A5411"/>
    <w:rsid w:val="004B1EED"/>
    <w:rsid w:val="004B5B14"/>
    <w:rsid w:val="004B5CDB"/>
    <w:rsid w:val="004B6E79"/>
    <w:rsid w:val="004C13C9"/>
    <w:rsid w:val="004D23B0"/>
    <w:rsid w:val="004F4D2B"/>
    <w:rsid w:val="00503015"/>
    <w:rsid w:val="005070F5"/>
    <w:rsid w:val="00510084"/>
    <w:rsid w:val="00514D81"/>
    <w:rsid w:val="00526A6E"/>
    <w:rsid w:val="0054200D"/>
    <w:rsid w:val="00565072"/>
    <w:rsid w:val="005720E0"/>
    <w:rsid w:val="00574E33"/>
    <w:rsid w:val="0058304E"/>
    <w:rsid w:val="005A3A4C"/>
    <w:rsid w:val="005A7387"/>
    <w:rsid w:val="005B26D8"/>
    <w:rsid w:val="005F546F"/>
    <w:rsid w:val="00600D9B"/>
    <w:rsid w:val="00601042"/>
    <w:rsid w:val="0060401F"/>
    <w:rsid w:val="00604B11"/>
    <w:rsid w:val="00627A59"/>
    <w:rsid w:val="00646160"/>
    <w:rsid w:val="00650FF2"/>
    <w:rsid w:val="00657BEB"/>
    <w:rsid w:val="006643D3"/>
    <w:rsid w:val="00671EF5"/>
    <w:rsid w:val="006A11BA"/>
    <w:rsid w:val="006A6306"/>
    <w:rsid w:val="006B7974"/>
    <w:rsid w:val="006C340D"/>
    <w:rsid w:val="006C6CDB"/>
    <w:rsid w:val="006D6AD2"/>
    <w:rsid w:val="006E67D5"/>
    <w:rsid w:val="0071237A"/>
    <w:rsid w:val="00712381"/>
    <w:rsid w:val="00715342"/>
    <w:rsid w:val="0072748E"/>
    <w:rsid w:val="00741A11"/>
    <w:rsid w:val="00751070"/>
    <w:rsid w:val="00754371"/>
    <w:rsid w:val="00754FB2"/>
    <w:rsid w:val="00764265"/>
    <w:rsid w:val="007775E4"/>
    <w:rsid w:val="0078041B"/>
    <w:rsid w:val="0078136F"/>
    <w:rsid w:val="0079512E"/>
    <w:rsid w:val="007A7967"/>
    <w:rsid w:val="007C1EA5"/>
    <w:rsid w:val="007C28D2"/>
    <w:rsid w:val="007C586B"/>
    <w:rsid w:val="007D331B"/>
    <w:rsid w:val="007E521C"/>
    <w:rsid w:val="007E5917"/>
    <w:rsid w:val="007F4A66"/>
    <w:rsid w:val="007F5BCA"/>
    <w:rsid w:val="0081357F"/>
    <w:rsid w:val="00813CC8"/>
    <w:rsid w:val="0083657A"/>
    <w:rsid w:val="00844223"/>
    <w:rsid w:val="0084730F"/>
    <w:rsid w:val="00864F67"/>
    <w:rsid w:val="00872234"/>
    <w:rsid w:val="008913C9"/>
    <w:rsid w:val="00897FB2"/>
    <w:rsid w:val="008E2134"/>
    <w:rsid w:val="008F3D7C"/>
    <w:rsid w:val="009078D9"/>
    <w:rsid w:val="00916927"/>
    <w:rsid w:val="00931AC8"/>
    <w:rsid w:val="00934213"/>
    <w:rsid w:val="009372B1"/>
    <w:rsid w:val="009428FF"/>
    <w:rsid w:val="00946961"/>
    <w:rsid w:val="00951D7E"/>
    <w:rsid w:val="00970EF6"/>
    <w:rsid w:val="009A30C8"/>
    <w:rsid w:val="009A4A05"/>
    <w:rsid w:val="009C5603"/>
    <w:rsid w:val="009C739D"/>
    <w:rsid w:val="009D0444"/>
    <w:rsid w:val="009D6270"/>
    <w:rsid w:val="009D7E1C"/>
    <w:rsid w:val="009E28BC"/>
    <w:rsid w:val="00A11905"/>
    <w:rsid w:val="00A20226"/>
    <w:rsid w:val="00A30A3D"/>
    <w:rsid w:val="00A35915"/>
    <w:rsid w:val="00A43428"/>
    <w:rsid w:val="00A44C5C"/>
    <w:rsid w:val="00A51201"/>
    <w:rsid w:val="00A649B7"/>
    <w:rsid w:val="00A758BC"/>
    <w:rsid w:val="00AA1245"/>
    <w:rsid w:val="00AD690C"/>
    <w:rsid w:val="00AE7CD6"/>
    <w:rsid w:val="00B02F1F"/>
    <w:rsid w:val="00B07F7B"/>
    <w:rsid w:val="00B23DD5"/>
    <w:rsid w:val="00B36022"/>
    <w:rsid w:val="00B5110D"/>
    <w:rsid w:val="00B52A67"/>
    <w:rsid w:val="00B67C92"/>
    <w:rsid w:val="00B71E43"/>
    <w:rsid w:val="00B9100C"/>
    <w:rsid w:val="00B95F45"/>
    <w:rsid w:val="00BB59D3"/>
    <w:rsid w:val="00BC688F"/>
    <w:rsid w:val="00BD65DD"/>
    <w:rsid w:val="00BE4F4F"/>
    <w:rsid w:val="00C41D0B"/>
    <w:rsid w:val="00C42FB2"/>
    <w:rsid w:val="00C53311"/>
    <w:rsid w:val="00C96764"/>
    <w:rsid w:val="00CA75B4"/>
    <w:rsid w:val="00CA76F9"/>
    <w:rsid w:val="00CB7C40"/>
    <w:rsid w:val="00CC44AD"/>
    <w:rsid w:val="00CD0623"/>
    <w:rsid w:val="00CD230B"/>
    <w:rsid w:val="00CE2912"/>
    <w:rsid w:val="00D10967"/>
    <w:rsid w:val="00D10D63"/>
    <w:rsid w:val="00D30B0C"/>
    <w:rsid w:val="00D51625"/>
    <w:rsid w:val="00D66B88"/>
    <w:rsid w:val="00D85BB0"/>
    <w:rsid w:val="00D930C1"/>
    <w:rsid w:val="00D95657"/>
    <w:rsid w:val="00DD0041"/>
    <w:rsid w:val="00DD1881"/>
    <w:rsid w:val="00DD5A18"/>
    <w:rsid w:val="00DF763C"/>
    <w:rsid w:val="00E1143D"/>
    <w:rsid w:val="00E132F9"/>
    <w:rsid w:val="00E34FED"/>
    <w:rsid w:val="00E37859"/>
    <w:rsid w:val="00E40419"/>
    <w:rsid w:val="00E55616"/>
    <w:rsid w:val="00E641CC"/>
    <w:rsid w:val="00E6685A"/>
    <w:rsid w:val="00E81A01"/>
    <w:rsid w:val="00E841BF"/>
    <w:rsid w:val="00E879D0"/>
    <w:rsid w:val="00EB70E5"/>
    <w:rsid w:val="00EC5D1C"/>
    <w:rsid w:val="00EC7194"/>
    <w:rsid w:val="00F203C7"/>
    <w:rsid w:val="00F24088"/>
    <w:rsid w:val="00F74CC6"/>
    <w:rsid w:val="00F753C5"/>
    <w:rsid w:val="00F81B00"/>
    <w:rsid w:val="00F87E5D"/>
    <w:rsid w:val="00FB3AC1"/>
    <w:rsid w:val="00FB76AB"/>
    <w:rsid w:val="00FE5929"/>
    <w:rsid w:val="00FF11CA"/>
    <w:rsid w:val="00FF1EB4"/>
    <w:rsid w:val="01AB22F7"/>
    <w:rsid w:val="03422396"/>
    <w:rsid w:val="03F301A1"/>
    <w:rsid w:val="08751071"/>
    <w:rsid w:val="08E205BB"/>
    <w:rsid w:val="08F64934"/>
    <w:rsid w:val="0B4738D8"/>
    <w:rsid w:val="0B8847E2"/>
    <w:rsid w:val="0BD969DD"/>
    <w:rsid w:val="0C5D2166"/>
    <w:rsid w:val="0D9E1870"/>
    <w:rsid w:val="0F622A3C"/>
    <w:rsid w:val="10D11D23"/>
    <w:rsid w:val="124E1021"/>
    <w:rsid w:val="132E7D6F"/>
    <w:rsid w:val="16B348AF"/>
    <w:rsid w:val="198770AD"/>
    <w:rsid w:val="19ED1125"/>
    <w:rsid w:val="1AE561A0"/>
    <w:rsid w:val="1C91540B"/>
    <w:rsid w:val="1D7E0CD8"/>
    <w:rsid w:val="1D9C4F67"/>
    <w:rsid w:val="1E2C315F"/>
    <w:rsid w:val="1F38244F"/>
    <w:rsid w:val="20567581"/>
    <w:rsid w:val="20B55782"/>
    <w:rsid w:val="2178009A"/>
    <w:rsid w:val="21D4671B"/>
    <w:rsid w:val="23503F79"/>
    <w:rsid w:val="252C6CB1"/>
    <w:rsid w:val="2E1A78A4"/>
    <w:rsid w:val="2F7D2C57"/>
    <w:rsid w:val="309E62BC"/>
    <w:rsid w:val="30E61DF8"/>
    <w:rsid w:val="333A74CC"/>
    <w:rsid w:val="34317F63"/>
    <w:rsid w:val="37F55C0E"/>
    <w:rsid w:val="3873253B"/>
    <w:rsid w:val="3AD40213"/>
    <w:rsid w:val="3B60259F"/>
    <w:rsid w:val="3C08682D"/>
    <w:rsid w:val="3C37251C"/>
    <w:rsid w:val="3CC634C1"/>
    <w:rsid w:val="3F6743C7"/>
    <w:rsid w:val="3F7D2C19"/>
    <w:rsid w:val="42B623C3"/>
    <w:rsid w:val="44916107"/>
    <w:rsid w:val="480D08B9"/>
    <w:rsid w:val="48343F2B"/>
    <w:rsid w:val="485C3394"/>
    <w:rsid w:val="48DA7E57"/>
    <w:rsid w:val="48F44E84"/>
    <w:rsid w:val="499A05BA"/>
    <w:rsid w:val="4B1A35D5"/>
    <w:rsid w:val="4D0A6726"/>
    <w:rsid w:val="4DED04E3"/>
    <w:rsid w:val="4E5435BA"/>
    <w:rsid w:val="4F0209FB"/>
    <w:rsid w:val="4F181343"/>
    <w:rsid w:val="50A05619"/>
    <w:rsid w:val="50AB4268"/>
    <w:rsid w:val="522316C8"/>
    <w:rsid w:val="56DE074C"/>
    <w:rsid w:val="56EC179F"/>
    <w:rsid w:val="576A78E7"/>
    <w:rsid w:val="57A93D60"/>
    <w:rsid w:val="592E20B2"/>
    <w:rsid w:val="59830AB2"/>
    <w:rsid w:val="5B075228"/>
    <w:rsid w:val="5E655EE0"/>
    <w:rsid w:val="5E9836C6"/>
    <w:rsid w:val="64F32A63"/>
    <w:rsid w:val="65D80D3A"/>
    <w:rsid w:val="67C029EA"/>
    <w:rsid w:val="685D10C8"/>
    <w:rsid w:val="68783EBA"/>
    <w:rsid w:val="69AB4FA5"/>
    <w:rsid w:val="6BCF19B9"/>
    <w:rsid w:val="6FF32135"/>
    <w:rsid w:val="704546CC"/>
    <w:rsid w:val="70816F75"/>
    <w:rsid w:val="717B69BC"/>
    <w:rsid w:val="71973A5D"/>
    <w:rsid w:val="72B80F22"/>
    <w:rsid w:val="72D9084F"/>
    <w:rsid w:val="75EC47E4"/>
    <w:rsid w:val="7829018D"/>
    <w:rsid w:val="78FB7169"/>
    <w:rsid w:val="7BE11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4"/>
    <w:basedOn w:val="1"/>
    <w:next w:val="1"/>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rFonts w:ascii="Times New Roman" w:hAnsi="Times New Roman" w:eastAsia="宋体" w:cs="Times New Roman"/>
    </w:rPr>
  </w:style>
  <w:style w:type="paragraph" w:styleId="5">
    <w:name w:val="annotation text"/>
    <w:basedOn w:val="1"/>
    <w:link w:val="22"/>
    <w:autoRedefine/>
    <w:semiHidden/>
    <w:unhideWhenUsed/>
    <w:qFormat/>
    <w:uiPriority w:val="99"/>
    <w:pPr>
      <w:jc w:val="left"/>
    </w:pPr>
  </w:style>
  <w:style w:type="paragraph" w:styleId="6">
    <w:name w:val="Body Text Indent"/>
    <w:basedOn w:val="1"/>
    <w:next w:val="4"/>
    <w:autoRedefine/>
    <w:qFormat/>
    <w:uiPriority w:val="0"/>
    <w:pPr>
      <w:spacing w:line="540" w:lineRule="exact"/>
      <w:ind w:firstLine="480" w:firstLineChars="200"/>
    </w:pPr>
    <w:rPr>
      <w:sz w:val="24"/>
    </w:rPr>
  </w:style>
  <w:style w:type="paragraph" w:styleId="7">
    <w:name w:val="Body Text Indent 2"/>
    <w:basedOn w:val="1"/>
    <w:link w:val="30"/>
    <w:autoRedefine/>
    <w:qFormat/>
    <w:uiPriority w:val="0"/>
    <w:pPr>
      <w:spacing w:after="120" w:line="480" w:lineRule="auto"/>
      <w:ind w:left="420" w:leftChars="200"/>
    </w:pPr>
  </w:style>
  <w:style w:type="paragraph" w:styleId="8">
    <w:name w:val="Balloon Text"/>
    <w:basedOn w:val="1"/>
    <w:link w:val="21"/>
    <w:autoRedefine/>
    <w:semiHidden/>
    <w:unhideWhenUsed/>
    <w:qFormat/>
    <w:uiPriority w:val="99"/>
    <w:rPr>
      <w:sz w:val="18"/>
      <w:szCs w:val="18"/>
    </w:rPr>
  </w:style>
  <w:style w:type="paragraph" w:styleId="9">
    <w:name w:val="footer"/>
    <w:basedOn w:val="1"/>
    <w:link w:val="18"/>
    <w:autoRedefine/>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semiHidden/>
    <w:unhideWhenUsed/>
    <w:qFormat/>
    <w:uiPriority w:val="99"/>
    <w:pPr>
      <w:spacing w:beforeAutospacing="1" w:afterAutospacing="1"/>
      <w:jc w:val="left"/>
    </w:pPr>
    <w:rPr>
      <w:rFonts w:cs="Times New Roman"/>
      <w:kern w:val="0"/>
      <w:sz w:val="24"/>
    </w:rPr>
  </w:style>
  <w:style w:type="paragraph" w:styleId="12">
    <w:name w:val="annotation subject"/>
    <w:basedOn w:val="5"/>
    <w:next w:val="5"/>
    <w:link w:val="23"/>
    <w:autoRedefine/>
    <w:semiHidden/>
    <w:unhideWhenUsed/>
    <w:qFormat/>
    <w:uiPriority w:val="99"/>
    <w:rPr>
      <w:b/>
      <w:bCs/>
    </w:rPr>
  </w:style>
  <w:style w:type="paragraph" w:styleId="13">
    <w:name w:val="Body Text First Indent 2"/>
    <w:basedOn w:val="6"/>
    <w:autoRedefine/>
    <w:qFormat/>
    <w:uiPriority w:val="0"/>
    <w:pPr>
      <w:spacing w:after="120" w:line="240" w:lineRule="auto"/>
      <w:ind w:left="420" w:leftChars="200" w:firstLine="420"/>
    </w:pPr>
    <w:rPr>
      <w:rFonts w:ascii="Times New Roman" w:hAnsi="Times New Roman" w:eastAsia="宋体" w:cs="Times New Roman"/>
      <w:sz w:val="21"/>
    </w:rPr>
  </w:style>
  <w:style w:type="character" w:styleId="16">
    <w:name w:val="annotation reference"/>
    <w:basedOn w:val="15"/>
    <w:autoRedefine/>
    <w:semiHidden/>
    <w:unhideWhenUsed/>
    <w:qFormat/>
    <w:uiPriority w:val="99"/>
    <w:rPr>
      <w:sz w:val="21"/>
      <w:szCs w:val="21"/>
    </w:rPr>
  </w:style>
  <w:style w:type="character" w:customStyle="1" w:styleId="17">
    <w:name w:val="页眉 Char"/>
    <w:basedOn w:val="15"/>
    <w:link w:val="10"/>
    <w:autoRedefine/>
    <w:qFormat/>
    <w:uiPriority w:val="99"/>
    <w:rPr>
      <w:sz w:val="18"/>
      <w:szCs w:val="18"/>
    </w:rPr>
  </w:style>
  <w:style w:type="character" w:customStyle="1" w:styleId="18">
    <w:name w:val="页脚 Char"/>
    <w:basedOn w:val="15"/>
    <w:link w:val="9"/>
    <w:autoRedefine/>
    <w:qFormat/>
    <w:uiPriority w:val="99"/>
    <w:rPr>
      <w:sz w:val="18"/>
      <w:szCs w:val="18"/>
    </w:rPr>
  </w:style>
  <w:style w:type="paragraph" w:styleId="19">
    <w:name w:val="List Paragraph"/>
    <w:basedOn w:val="1"/>
    <w:autoRedefine/>
    <w:qFormat/>
    <w:uiPriority w:val="34"/>
    <w:pPr>
      <w:ind w:firstLine="420" w:firstLineChars="200"/>
    </w:pPr>
    <w:rPr>
      <w:rFonts w:ascii="Calibri" w:hAnsi="Calibri" w:eastAsia="宋体" w:cs="Calibri"/>
      <w:szCs w:val="21"/>
    </w:rPr>
  </w:style>
  <w:style w:type="character" w:customStyle="1" w:styleId="20">
    <w:name w:val="样式 仿宋"/>
    <w:autoRedefine/>
    <w:qFormat/>
    <w:uiPriority w:val="0"/>
    <w:rPr>
      <w:rFonts w:ascii="仿宋" w:hAnsi="仿宋" w:eastAsia="仿宋"/>
      <w:kern w:val="1"/>
    </w:rPr>
  </w:style>
  <w:style w:type="character" w:customStyle="1" w:styleId="21">
    <w:name w:val="批注框文本 Char"/>
    <w:basedOn w:val="15"/>
    <w:link w:val="8"/>
    <w:autoRedefine/>
    <w:semiHidden/>
    <w:qFormat/>
    <w:uiPriority w:val="99"/>
    <w:rPr>
      <w:kern w:val="2"/>
      <w:sz w:val="18"/>
      <w:szCs w:val="18"/>
    </w:rPr>
  </w:style>
  <w:style w:type="character" w:customStyle="1" w:styleId="22">
    <w:name w:val="批注文字 Char"/>
    <w:basedOn w:val="15"/>
    <w:link w:val="5"/>
    <w:autoRedefine/>
    <w:semiHidden/>
    <w:qFormat/>
    <w:uiPriority w:val="99"/>
    <w:rPr>
      <w:kern w:val="2"/>
      <w:sz w:val="21"/>
      <w:szCs w:val="22"/>
    </w:rPr>
  </w:style>
  <w:style w:type="character" w:customStyle="1" w:styleId="23">
    <w:name w:val="批注主题 Char"/>
    <w:basedOn w:val="22"/>
    <w:link w:val="12"/>
    <w:autoRedefine/>
    <w:semiHidden/>
    <w:qFormat/>
    <w:uiPriority w:val="99"/>
    <w:rPr>
      <w:b/>
      <w:bCs/>
      <w:kern w:val="2"/>
      <w:sz w:val="21"/>
      <w:szCs w:val="22"/>
    </w:rPr>
  </w:style>
  <w:style w:type="paragraph" w:customStyle="1" w:styleId="24">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正式正文"/>
    <w:basedOn w:val="1"/>
    <w:autoRedefine/>
    <w:qFormat/>
    <w:uiPriority w:val="0"/>
    <w:pPr>
      <w:ind w:firstLine="200"/>
    </w:pPr>
  </w:style>
  <w:style w:type="paragraph" w:customStyle="1" w:styleId="26">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details_p"/>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l_span"/>
    <w:autoRedefine/>
    <w:qFormat/>
    <w:uiPriority w:val="0"/>
  </w:style>
  <w:style w:type="paragraph" w:customStyle="1" w:styleId="29">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正文文本缩进 2 Char"/>
    <w:basedOn w:val="15"/>
    <w:link w:val="7"/>
    <w:autoRedefine/>
    <w:qFormat/>
    <w:uiPriority w:val="0"/>
    <w:rPr>
      <w:rFonts w:asciiTheme="minorHAnsi" w:hAnsiTheme="minorHAnsi" w:eastAsiaTheme="minorEastAsia" w:cstheme="minorBidi"/>
      <w:kern w:val="2"/>
      <w:sz w:val="21"/>
      <w:szCs w:val="22"/>
    </w:rPr>
  </w:style>
  <w:style w:type="paragraph" w:customStyle="1" w:styleId="31">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CB8DC-9C84-49BE-BA7C-4DB8D7B7714B}">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268</Words>
  <Characters>1534</Characters>
  <Lines>12</Lines>
  <Paragraphs>3</Paragraphs>
  <TotalTime>28</TotalTime>
  <ScaleCrop>false</ScaleCrop>
  <LinksUpToDate>false</LinksUpToDate>
  <CharactersWithSpaces>1799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2023-12-05T07:57:00Z</dcterms:created>
  <dc:creator>陈惠林</dc:creator>
  <cp:lastModifiedBy>张小彤</cp:lastModifiedBy>
  <cp:lastPrinted>2024-01-22T01:38:00Z</cp:lastPrinted>
  <dcterms:modified xsi:type="dcterms:W3CDTF">2024-04-25T01:25:25Z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2397B3C8D3AB42868D85E06AD8BB161F_13</vt:lpwstr>
  </property>
</Properties>
</file>