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Arial"/>
          <w:kern w:val="0"/>
          <w:sz w:val="44"/>
          <w:szCs w:val="44"/>
        </w:rPr>
      </w:pPr>
      <w:r>
        <w:rPr>
          <w:rFonts w:hint="eastAsia" w:ascii="方正小标宋_GBK" w:hAnsi="宋体" w:eastAsia="方正小标宋_GBK" w:cs="Arial"/>
          <w:kern w:val="0"/>
          <w:sz w:val="44"/>
          <w:szCs w:val="44"/>
          <w:lang w:val="en-US" w:eastAsia="zh-CN"/>
        </w:rPr>
        <w:t>南曹鼎浩、崔阁明盛、德州豪盛光伏电站应接尽接询价采购公告</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textAlignment w:val="auto"/>
        <w:rPr>
          <w:rFonts w:hint="eastAsia"/>
        </w:rPr>
      </w:pP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rPr>
        <w:t>1.采购单位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highlight w:val="none"/>
          <w:lang w:val="en-US" w:eastAsia="zh-CN"/>
        </w:rPr>
        <w:t>青岛城投新能源集团有限公司</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2.服务名称：</w:t>
      </w:r>
      <w:r>
        <w:rPr>
          <w:rFonts w:hint="eastAsia" w:ascii="仿宋_GB2312" w:hAnsi="仿宋_GB2312" w:eastAsia="仿宋_GB2312" w:cs="仿宋_GB2312"/>
          <w:kern w:val="0"/>
          <w:sz w:val="32"/>
          <w:szCs w:val="32"/>
          <w:lang w:val="en-US" w:eastAsia="zh-CN"/>
        </w:rPr>
        <w:t>南曹鼎浩、崔阁明盛、德州豪盛光伏电站应接尽接项目</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3.服务内容：</w:t>
      </w:r>
      <w:bookmarkStart w:id="0" w:name="_Hlk71881019"/>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lang w:val="en-US" w:eastAsia="zh-CN"/>
        </w:rPr>
        <w:t>山东南曹鼎浩、崔阁明盛、德州豪盛光伏电站网安装置应接尽接采购</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本次报价包括网安升级、网安分区改造、网安双平面改造，包括站内网络设备、安防设备、主机类设备探针安装及调试，接入资产数量满足电网应接尽接要求，配合调度完成验收工作确保验收通过。</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bidi="ar-SA"/>
        </w:rPr>
        <w:t>4.</w:t>
      </w:r>
      <w:r>
        <w:rPr>
          <w:rFonts w:hint="eastAsia" w:ascii="仿宋_GB2312" w:hAnsi="仿宋_GB2312" w:eastAsia="仿宋_GB2312" w:cs="仿宋_GB2312"/>
          <w:kern w:val="0"/>
          <w:sz w:val="32"/>
          <w:szCs w:val="32"/>
        </w:rPr>
        <w:t>服务地点：</w:t>
      </w:r>
      <w:r>
        <w:rPr>
          <w:rFonts w:hint="eastAsia" w:ascii="仿宋_GB2312" w:hAnsi="仿宋_GB2312" w:eastAsia="仿宋_GB2312" w:cs="仿宋_GB2312"/>
          <w:kern w:val="0"/>
          <w:sz w:val="32"/>
          <w:szCs w:val="32"/>
          <w:lang w:val="en-US" w:eastAsia="zh-CN"/>
        </w:rPr>
        <w:t>山东南曹鼎浩、崔阁明盛、德州豪盛光伏电站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kern w:val="0"/>
          <w:sz w:val="32"/>
          <w:szCs w:val="32"/>
          <w:highlight w:val="yellow"/>
          <w:lang w:val="en-US"/>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.采购预算：</w:t>
      </w:r>
      <w:r>
        <w:rPr>
          <w:rFonts w:hint="eastAsia" w:ascii="仿宋_GB2312" w:hAnsi="仿宋_GB2312" w:eastAsia="仿宋_GB2312" w:cs="仿宋_GB2312"/>
          <w:kern w:val="0"/>
          <w:sz w:val="32"/>
          <w:szCs w:val="32"/>
          <w:lang w:val="en-US" w:eastAsia="zh-CN"/>
        </w:rPr>
        <w:t>20.7万元（南曹鼎浩项目6.7万元、崔阁明盛项目7.4万元、德州豪盛项目6.6万元）。</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color w:val="auto"/>
          <w:sz w:val="32"/>
          <w:szCs w:val="32"/>
          <w:highlight w:val="yellow"/>
        </w:rPr>
      </w:pPr>
      <w:r>
        <w:rPr>
          <w:rFonts w:hint="eastAsia" w:ascii="仿宋_GB2312" w:hAnsi="仿宋_GB2312" w:eastAsia="仿宋_GB2312" w:cs="仿宋_GB2312"/>
          <w:kern w:val="0"/>
          <w:sz w:val="32"/>
          <w:szCs w:val="32"/>
          <w:lang w:val="en-US" w:eastAsia="zh-CN"/>
        </w:rPr>
        <w:t>6.本服务合同与青岛城投新能源集团有限公司下属项目公司巨野县鼎浩新能源有限公司、巨野县明盛日电太阳能科技有限公司、德州豪盛太阳能科技有限公司签订。</w:t>
      </w:r>
    </w:p>
    <w:p>
      <w:pPr>
        <w:spacing w:line="560" w:lineRule="exact"/>
        <w:ind w:firstLine="645"/>
        <w:rPr>
          <w:rFonts w:ascii="黑体" w:hAnsi="黑体" w:eastAsia="黑体" w:cs="Arial"/>
          <w:color w:val="auto"/>
          <w:kern w:val="0"/>
          <w:sz w:val="32"/>
          <w:szCs w:val="32"/>
        </w:rPr>
      </w:pPr>
      <w:r>
        <w:rPr>
          <w:rFonts w:hint="eastAsia" w:ascii="黑体" w:hAnsi="黑体" w:eastAsia="黑体" w:cs="Arial"/>
          <w:color w:val="auto"/>
          <w:kern w:val="0"/>
          <w:sz w:val="32"/>
          <w:szCs w:val="32"/>
        </w:rPr>
        <w:t>二、报价单位资格要求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1.在中华人民共和国境内注册，具有独立法人资格，持有营</w:t>
      </w:r>
      <w:r>
        <w:rPr>
          <w:rFonts w:hint="eastAsia" w:ascii="仿宋_GB2312" w:hAnsi="仿宋_GB2312" w:eastAsia="仿宋_GB2312" w:cs="仿宋_GB2312"/>
          <w:kern w:val="0"/>
          <w:sz w:val="32"/>
          <w:szCs w:val="32"/>
          <w:highlight w:val="none"/>
        </w:rPr>
        <w:t>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kern w:val="0"/>
          <w:sz w:val="32"/>
          <w:szCs w:val="32"/>
          <w:highlight w:val="none"/>
          <w:lang w:val="en-US" w:eastAsia="zh-CN"/>
        </w:rPr>
        <w:t>2.具有</w:t>
      </w:r>
      <w:r>
        <w:rPr>
          <w:rFonts w:hint="eastAsia" w:ascii="仿宋_GB2312" w:hAnsi="仿宋_GB2312" w:eastAsia="仿宋_GB2312" w:cs="仿宋_GB2312"/>
          <w:color w:val="000000"/>
          <w:kern w:val="0"/>
          <w:sz w:val="32"/>
          <w:szCs w:val="32"/>
          <w:highlight w:val="none"/>
        </w:rPr>
        <w:t>近</w:t>
      </w:r>
      <w:r>
        <w:rPr>
          <w:rFonts w:hint="eastAsia" w:ascii="仿宋_GB2312" w:hAnsi="仿宋_GB2312" w:eastAsia="仿宋_GB2312" w:cs="仿宋_GB2312"/>
          <w:color w:val="000000"/>
          <w:kern w:val="0"/>
          <w:sz w:val="32"/>
          <w:szCs w:val="32"/>
          <w:highlight w:val="none"/>
          <w:lang w:val="en-US" w:eastAsia="zh-CN"/>
        </w:rPr>
        <w:t>两</w:t>
      </w:r>
      <w:r>
        <w:rPr>
          <w:rFonts w:hint="eastAsia" w:ascii="仿宋_GB2312" w:hAnsi="仿宋_GB2312" w:eastAsia="仿宋_GB2312" w:cs="仿宋_GB2312"/>
          <w:color w:val="000000"/>
          <w:kern w:val="0"/>
          <w:sz w:val="32"/>
          <w:szCs w:val="32"/>
          <w:highlight w:val="none"/>
        </w:rPr>
        <w:t>年（202</w:t>
      </w:r>
      <w:r>
        <w:rPr>
          <w:rFonts w:hint="eastAsia" w:ascii="仿宋_GB2312" w:hAnsi="仿宋_GB2312" w:eastAsia="仿宋_GB2312" w:cs="仿宋_GB2312"/>
          <w:color w:val="000000"/>
          <w:kern w:val="0"/>
          <w:sz w:val="32"/>
          <w:szCs w:val="32"/>
          <w:highlight w:val="none"/>
          <w:lang w:val="en-US" w:eastAsia="zh-CN"/>
        </w:rPr>
        <w:t>2</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月1日至今）至少</w:t>
      </w:r>
      <w:r>
        <w:rPr>
          <w:rFonts w:hint="eastAsia" w:ascii="仿宋_GB2312" w:hAnsi="仿宋_GB2312" w:eastAsia="仿宋_GB2312" w:cs="仿宋_GB2312"/>
          <w:color w:val="000000"/>
          <w:kern w:val="0"/>
          <w:sz w:val="32"/>
          <w:szCs w:val="32"/>
          <w:highlight w:val="none"/>
          <w:lang w:val="en-US" w:eastAsia="zh-CN"/>
        </w:rPr>
        <w:t>2</w:t>
      </w:r>
      <w:r>
        <w:rPr>
          <w:rFonts w:hint="eastAsia" w:ascii="仿宋_GB2312" w:hAnsi="仿宋_GB2312" w:eastAsia="仿宋_GB2312" w:cs="仿宋_GB2312"/>
          <w:color w:val="000000"/>
          <w:kern w:val="0"/>
          <w:sz w:val="32"/>
          <w:szCs w:val="32"/>
          <w:highlight w:val="none"/>
        </w:rPr>
        <w:t>份</w:t>
      </w:r>
      <w:r>
        <w:rPr>
          <w:rFonts w:hint="eastAsia" w:ascii="仿宋_GB2312" w:hAnsi="仿宋_GB2312" w:eastAsia="仿宋_GB2312" w:cs="仿宋_GB2312"/>
          <w:color w:val="000000"/>
          <w:kern w:val="0"/>
          <w:sz w:val="32"/>
          <w:szCs w:val="32"/>
          <w:highlight w:val="none"/>
          <w:lang w:val="en-US" w:eastAsia="zh-CN"/>
        </w:rPr>
        <w:t>网安应接尽接服务</w:t>
      </w:r>
      <w:r>
        <w:rPr>
          <w:rFonts w:hint="eastAsia" w:ascii="仿宋_GB2312" w:hAnsi="仿宋_GB2312" w:eastAsia="仿宋_GB2312" w:cs="仿宋_GB2312"/>
          <w:color w:val="000000"/>
          <w:kern w:val="0"/>
          <w:sz w:val="32"/>
          <w:szCs w:val="32"/>
          <w:highlight w:val="none"/>
        </w:rPr>
        <w:t>业绩；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Arial"/>
          <w:color w:val="auto"/>
          <w:kern w:val="0"/>
          <w:sz w:val="32"/>
          <w:szCs w:val="32"/>
          <w:lang w:val="en-US" w:eastAsia="zh-CN"/>
        </w:rPr>
      </w:pPr>
      <w:r>
        <w:rPr>
          <w:rFonts w:hint="eastAsia" w:ascii="仿宋_GB2312" w:hAnsi="仿宋_GB2312" w:eastAsia="仿宋_GB2312" w:cs="仿宋_GB2312"/>
          <w:kern w:val="0"/>
          <w:sz w:val="32"/>
          <w:szCs w:val="32"/>
        </w:rPr>
        <w:t>1.服务期限：</w:t>
      </w:r>
      <w:r>
        <w:rPr>
          <w:rFonts w:hint="eastAsia" w:ascii="仿宋_GB2312" w:hAnsi="仿宋_GB2312" w:eastAsia="仿宋_GB2312" w:cs="仿宋_GB2312"/>
          <w:kern w:val="0"/>
          <w:sz w:val="32"/>
          <w:szCs w:val="32"/>
          <w:lang w:val="en-US" w:eastAsia="zh-CN"/>
        </w:rPr>
        <w:t>乙方于</w:t>
      </w:r>
      <w:r>
        <w:rPr>
          <w:rFonts w:hint="eastAsia" w:ascii="仿宋_GB2312" w:hAnsi="仿宋_GB2312" w:eastAsia="仿宋_GB2312" w:cs="仿宋_GB2312"/>
          <w:kern w:val="0"/>
          <w:sz w:val="32"/>
          <w:szCs w:val="32"/>
        </w:rPr>
        <w:t>合同</w:t>
      </w:r>
      <w:r>
        <w:rPr>
          <w:rFonts w:hint="eastAsia" w:ascii="仿宋_GB2312" w:hAnsi="仿宋_GB2312" w:eastAsia="仿宋_GB2312" w:cs="仿宋_GB2312"/>
          <w:kern w:val="0"/>
          <w:sz w:val="32"/>
          <w:szCs w:val="32"/>
          <w:lang w:val="en-US" w:eastAsia="zh-CN"/>
        </w:rPr>
        <w:t>签订之日起30日内</w:t>
      </w:r>
      <w:r>
        <w:rPr>
          <w:rFonts w:hint="eastAsia" w:ascii="仿宋_GB2312" w:hAnsi="仿宋" w:eastAsia="仿宋_GB2312" w:cs="Arial"/>
          <w:color w:val="auto"/>
          <w:kern w:val="0"/>
          <w:sz w:val="32"/>
          <w:szCs w:val="32"/>
          <w:lang w:val="zh-CN"/>
        </w:rPr>
        <w:t>完成</w:t>
      </w:r>
      <w:r>
        <w:rPr>
          <w:rFonts w:hint="eastAsia" w:ascii="仿宋_GB2312" w:hAnsi="仿宋_GB2312" w:eastAsia="仿宋_GB2312" w:cs="仿宋_GB2312"/>
          <w:kern w:val="0"/>
          <w:sz w:val="32"/>
          <w:szCs w:val="32"/>
          <w:lang w:val="en-US" w:eastAsia="zh-CN"/>
        </w:rPr>
        <w:t>南曹鼎浩、崔阁明盛、德州豪盛光伏电站网安应接尽接工作探针安装、</w:t>
      </w:r>
      <w:r>
        <w:rPr>
          <w:rFonts w:hint="eastAsia" w:ascii="仿宋_GB2312" w:hAnsi="仿宋_GB2312" w:eastAsia="仿宋_GB2312" w:cs="仿宋_GB2312"/>
          <w:sz w:val="32"/>
          <w:szCs w:val="32"/>
          <w:highlight w:val="none"/>
          <w:lang w:val="en-US" w:eastAsia="zh-CN"/>
        </w:rPr>
        <w:t>设备调试等工作</w:t>
      </w:r>
      <w:r>
        <w:rPr>
          <w:rFonts w:hint="eastAsia" w:ascii="仿宋_GB2312" w:hAnsi="仿宋" w:eastAsia="仿宋_GB2312" w:cs="Arial"/>
          <w:color w:val="auto"/>
          <w:kern w:val="0"/>
          <w:sz w:val="32"/>
          <w:szCs w:val="32"/>
          <w:lang w:val="en-US" w:eastAsia="zh-CN"/>
        </w:rPr>
        <w:t>并通过</w:t>
      </w:r>
      <w:r>
        <w:rPr>
          <w:rFonts w:hint="eastAsia" w:ascii="仿宋_GB2312" w:hAnsi="仿宋" w:eastAsia="仿宋_GB2312" w:cs="Arial"/>
          <w:kern w:val="0"/>
          <w:sz w:val="32"/>
          <w:szCs w:val="32"/>
          <w:lang w:val="en-US" w:eastAsia="zh-CN"/>
        </w:rPr>
        <w:t>甲方</w:t>
      </w:r>
      <w:r>
        <w:rPr>
          <w:rFonts w:hint="eastAsia" w:ascii="仿宋_GB2312" w:hAnsi="仿宋" w:eastAsia="仿宋_GB2312" w:cs="Arial"/>
          <w:kern w:val="0"/>
          <w:sz w:val="32"/>
          <w:szCs w:val="32"/>
        </w:rPr>
        <w:t>验收</w:t>
      </w:r>
      <w:r>
        <w:rPr>
          <w:rFonts w:hint="eastAsia" w:ascii="仿宋_GB2312" w:hAnsi="仿宋" w:eastAsia="仿宋_GB2312" w:cs="Arial"/>
          <w:kern w:val="0"/>
          <w:sz w:val="32"/>
          <w:szCs w:val="32"/>
          <w:lang w:val="en-US" w:eastAsia="zh-CN"/>
        </w:rPr>
        <w:t>合格</w:t>
      </w:r>
      <w:r>
        <w:rPr>
          <w:rFonts w:hint="eastAsia" w:ascii="仿宋_GB2312" w:hAnsi="仿宋" w:eastAsia="仿宋_GB2312" w:cs="Arial"/>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服务</w:t>
      </w:r>
      <w:r>
        <w:rPr>
          <w:rFonts w:hint="eastAsia" w:ascii="仿宋_GB2312" w:hAnsi="仿宋_GB2312" w:eastAsia="仿宋_GB2312" w:cs="仿宋_GB2312"/>
          <w:kern w:val="0"/>
          <w:sz w:val="32"/>
          <w:szCs w:val="32"/>
        </w:rPr>
        <w:t>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乙方</w:t>
      </w:r>
      <w:r>
        <w:rPr>
          <w:rFonts w:hint="eastAsia" w:ascii="仿宋_GB2312" w:hAnsi="仿宋_GB2312" w:eastAsia="仿宋_GB2312" w:cs="仿宋_GB2312"/>
          <w:color w:val="auto"/>
          <w:kern w:val="0"/>
          <w:sz w:val="32"/>
          <w:szCs w:val="32"/>
        </w:rPr>
        <w:t>应严格按照国家、行业规范及服务内容要求</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满足山东电网网安应接尽接要求</w:t>
      </w:r>
      <w:r>
        <w:rPr>
          <w:rFonts w:hint="eastAsia" w:ascii="仿宋_GB2312" w:hAnsi="仿宋_GB2312" w:eastAsia="仿宋_GB2312" w:cs="仿宋_GB2312"/>
          <w:kern w:val="0"/>
          <w:sz w:val="32"/>
          <w:szCs w:val="32"/>
        </w:rPr>
        <w:t>以及双方认可的方案开展工作。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须在合同</w:t>
      </w:r>
      <w:r>
        <w:rPr>
          <w:rFonts w:hint="eastAsia" w:ascii="仿宋_GB2312" w:hAnsi="仿宋_GB2312" w:eastAsia="仿宋_GB2312" w:cs="仿宋_GB2312"/>
          <w:kern w:val="0"/>
          <w:sz w:val="32"/>
          <w:szCs w:val="32"/>
          <w:lang w:val="en-US" w:eastAsia="zh-CN"/>
        </w:rPr>
        <w:t>约定时间内完成所有工作内容</w:t>
      </w:r>
      <w:r>
        <w:rPr>
          <w:rFonts w:hint="eastAsia" w:ascii="仿宋_GB2312" w:hAnsi="仿宋_GB2312" w:eastAsia="仿宋_GB2312" w:cs="仿宋_GB2312"/>
          <w:kern w:val="0"/>
          <w:sz w:val="32"/>
          <w:szCs w:val="32"/>
        </w:rPr>
        <w:t>，每延迟一天扣</w:t>
      </w:r>
      <w:r>
        <w:rPr>
          <w:rFonts w:hint="eastAsia" w:ascii="仿宋_GB2312" w:hAnsi="仿宋_GB2312" w:eastAsia="仿宋_GB2312" w:cs="仿宋_GB2312"/>
          <w:kern w:val="0"/>
          <w:sz w:val="32"/>
          <w:szCs w:val="32"/>
          <w:lang w:val="en-US" w:eastAsia="zh-CN"/>
        </w:rPr>
        <w:t>罚</w:t>
      </w:r>
      <w:r>
        <w:rPr>
          <w:rFonts w:hint="eastAsia" w:ascii="仿宋_GB2312" w:hAnsi="仿宋_GB2312" w:eastAsia="仿宋_GB2312" w:cs="仿宋_GB2312"/>
          <w:kern w:val="0"/>
          <w:sz w:val="32"/>
          <w:szCs w:val="32"/>
        </w:rPr>
        <w:t>总合同额的</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应明确项目负责人，负责合同实施过程中</w:t>
      </w:r>
      <w:r>
        <w:rPr>
          <w:rFonts w:hint="eastAsia" w:ascii="仿宋_GB2312" w:hAnsi="仿宋_GB2312" w:eastAsia="仿宋_GB2312" w:cs="仿宋_GB2312"/>
          <w:kern w:val="0"/>
          <w:sz w:val="32"/>
          <w:szCs w:val="32"/>
          <w:lang w:val="en-US" w:eastAsia="zh-CN"/>
        </w:rPr>
        <w:t>进度及</w:t>
      </w:r>
      <w:r>
        <w:rPr>
          <w:rFonts w:hint="eastAsia" w:ascii="仿宋_GB2312" w:hAnsi="仿宋_GB2312" w:eastAsia="仿宋_GB2312" w:cs="仿宋_GB2312"/>
          <w:kern w:val="0"/>
          <w:sz w:val="32"/>
          <w:szCs w:val="32"/>
        </w:rPr>
        <w:t>协调工作。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应对其技术人员的行为负责，确保技术人员遵守项目现场的相应规范要求，发现有违规行为，及时予以制止和纠正。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（5）应遵守</w:t>
      </w: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和项目现场的各种管理程序和文件。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（6）必须接受</w:t>
      </w:r>
      <w:r>
        <w:rPr>
          <w:rFonts w:hint="eastAsia" w:ascii="仿宋_GB2312" w:hAnsi="仿宋_GB2312" w:eastAsia="仿宋_GB2312" w:cs="仿宋_GB2312"/>
          <w:kern w:val="0"/>
          <w:sz w:val="32"/>
          <w:szCs w:val="32"/>
          <w:lang w:val="en-US" w:eastAsia="zh-CN"/>
        </w:rPr>
        <w:t>甲方</w:t>
      </w:r>
      <w:r>
        <w:rPr>
          <w:rFonts w:hint="eastAsia" w:ascii="仿宋_GB2312" w:hAnsi="仿宋_GB2312" w:eastAsia="仿宋_GB2312" w:cs="仿宋_GB2312"/>
          <w:kern w:val="0"/>
          <w:sz w:val="32"/>
          <w:szCs w:val="32"/>
        </w:rPr>
        <w:t>的安全生产管理制度的要求。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.验收要求：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乙方</w:t>
      </w:r>
      <w:r>
        <w:rPr>
          <w:rFonts w:hint="eastAsia" w:ascii="仿宋_GB2312" w:hAnsi="仿宋_GB2312" w:eastAsia="仿宋_GB2312" w:cs="仿宋_GB2312"/>
          <w:kern w:val="0"/>
          <w:sz w:val="32"/>
          <w:szCs w:val="32"/>
        </w:rPr>
        <w:t>按照</w:t>
      </w:r>
      <w:r>
        <w:rPr>
          <w:rFonts w:hint="eastAsia" w:ascii="仿宋_GB2312" w:hAnsi="仿宋_GB2312" w:eastAsia="仿宋_GB2312" w:cs="仿宋_GB2312"/>
          <w:kern w:val="0"/>
          <w:sz w:val="32"/>
          <w:szCs w:val="32"/>
          <w:lang w:val="en-US" w:eastAsia="zh-CN"/>
        </w:rPr>
        <w:t>采购要求</w:t>
      </w:r>
      <w:r>
        <w:rPr>
          <w:rFonts w:hint="eastAsia" w:ascii="仿宋_GB2312" w:hAnsi="仿宋_GB2312" w:eastAsia="仿宋_GB2312" w:cs="仿宋_GB2312"/>
          <w:kern w:val="0"/>
          <w:sz w:val="32"/>
          <w:szCs w:val="32"/>
        </w:rPr>
        <w:t>完成</w:t>
      </w:r>
      <w:r>
        <w:rPr>
          <w:rFonts w:hint="eastAsia" w:ascii="仿宋_GB2312" w:hAnsi="仿宋_GB2312" w:eastAsia="仿宋_GB2312" w:cs="仿宋_GB2312"/>
          <w:kern w:val="0"/>
          <w:sz w:val="32"/>
          <w:szCs w:val="32"/>
          <w:lang w:val="en-US" w:eastAsia="zh-CN"/>
        </w:rPr>
        <w:t>网安应接尽接现场验收、</w:t>
      </w:r>
      <w:r>
        <w:rPr>
          <w:rFonts w:hint="eastAsia" w:ascii="仿宋_GB2312" w:hAnsi="仿宋_GB2312" w:eastAsia="仿宋_GB2312" w:cs="仿宋_GB2312"/>
          <w:sz w:val="32"/>
          <w:szCs w:val="32"/>
          <w:highlight w:val="none"/>
          <w:lang w:val="en-US" w:eastAsia="zh-CN"/>
        </w:rPr>
        <w:t>设备调试、等工作，并出具调试报告、配合调度完成验收工作确保验收通过</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乙方</w:t>
      </w:r>
      <w:r>
        <w:rPr>
          <w:rFonts w:hint="eastAsia" w:ascii="仿宋_GB2312" w:hAnsi="仿宋" w:eastAsia="仿宋_GB2312" w:cs="Arial"/>
          <w:kern w:val="0"/>
          <w:sz w:val="32"/>
          <w:szCs w:val="32"/>
          <w:highlight w:val="none"/>
          <w:lang w:val="en-US" w:eastAsia="zh-CN"/>
        </w:rPr>
        <w:t>通过甲方正式验收，乙方</w:t>
      </w:r>
      <w:r>
        <w:rPr>
          <w:rFonts w:hint="eastAsia" w:ascii="仿宋_GB2312" w:hAnsi="仿宋_GB2312" w:eastAsia="仿宋_GB2312" w:cs="仿宋_GB2312"/>
          <w:kern w:val="0"/>
          <w:sz w:val="32"/>
          <w:szCs w:val="32"/>
          <w:lang w:val="en-US" w:eastAsia="zh-CN"/>
        </w:rPr>
        <w:t>出具验收确认单报甲方签字确认</w:t>
      </w:r>
      <w:r>
        <w:rPr>
          <w:rFonts w:hint="eastAsia" w:ascii="仿宋_GB2312" w:hAnsi="仿宋_GB2312" w:eastAsia="仿宋_GB2312" w:cs="仿宋_GB2312"/>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SA"/>
        </w:rPr>
        <w:t>4.</w:t>
      </w:r>
      <w:r>
        <w:rPr>
          <w:rFonts w:hint="eastAsia" w:ascii="仿宋_GB2312" w:hAnsi="仿宋_GB2312" w:eastAsia="仿宋_GB2312" w:cs="仿宋_GB2312"/>
          <w:kern w:val="0"/>
          <w:sz w:val="32"/>
          <w:szCs w:val="32"/>
        </w:rPr>
        <w:t>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5" w:firstLine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SA"/>
        </w:rPr>
        <w:t>（1）</w:t>
      </w:r>
      <w:r>
        <w:rPr>
          <w:rFonts w:hint="eastAsia" w:ascii="仿宋_GB2312" w:hAnsi="仿宋" w:eastAsia="仿宋_GB2312" w:cs="Arial"/>
          <w:color w:val="auto"/>
          <w:kern w:val="0"/>
          <w:sz w:val="32"/>
          <w:szCs w:val="32"/>
          <w:highlight w:val="none"/>
          <w:lang w:val="en-US" w:eastAsia="zh-CN"/>
        </w:rPr>
        <w:t>乙方全部工作内容完成</w:t>
      </w:r>
      <w:r>
        <w:rPr>
          <w:rFonts w:hint="eastAsia" w:ascii="仿宋_GB2312" w:hAnsi="仿宋" w:eastAsia="仿宋_GB2312" w:cs="Arial"/>
          <w:color w:val="auto"/>
          <w:kern w:val="0"/>
          <w:sz w:val="32"/>
          <w:szCs w:val="32"/>
          <w:highlight w:val="none"/>
        </w:rPr>
        <w:t>，</w:t>
      </w:r>
      <w:r>
        <w:rPr>
          <w:rFonts w:hint="eastAsia" w:ascii="仿宋_GB2312" w:hAnsi="仿宋" w:eastAsia="仿宋_GB2312" w:cs="Arial"/>
          <w:color w:val="auto"/>
          <w:kern w:val="0"/>
          <w:sz w:val="32"/>
          <w:szCs w:val="32"/>
          <w:highlight w:val="none"/>
          <w:lang w:val="en-US" w:eastAsia="zh-CN"/>
        </w:rPr>
        <w:t>完成验收程序并通过甲方正式验收，乙方向甲方开具合同总金额100%的增值税专用发票，甲方收到发票后20日内支付对应款项。</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bidi="ar-SA"/>
        </w:rPr>
        <w:t>5.</w:t>
      </w:r>
      <w:r>
        <w:rPr>
          <w:rFonts w:hint="eastAsia" w:ascii="仿宋_GB2312" w:hAnsi="仿宋_GB2312" w:eastAsia="仿宋_GB2312" w:cs="仿宋_GB2312"/>
          <w:kern w:val="0"/>
          <w:sz w:val="32"/>
          <w:szCs w:val="32"/>
        </w:rPr>
        <w:t>质保期</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本次相关服务</w:t>
      </w:r>
      <w:r>
        <w:rPr>
          <w:rFonts w:hint="eastAsia" w:ascii="仿宋_GB2312" w:hAnsi="仿宋_GB2312" w:eastAsia="仿宋_GB2312" w:cs="仿宋_GB2312"/>
          <w:kern w:val="0"/>
          <w:sz w:val="32"/>
          <w:szCs w:val="32"/>
        </w:rPr>
        <w:t>质量保证期</w:t>
      </w:r>
      <w:r>
        <w:rPr>
          <w:rFonts w:hint="eastAsia" w:ascii="仿宋_GB2312" w:hAnsi="仿宋_GB2312" w:eastAsia="仿宋_GB2312" w:cs="仿宋_GB2312"/>
          <w:kern w:val="0"/>
          <w:sz w:val="32"/>
          <w:szCs w:val="32"/>
          <w:lang w:val="en-US" w:eastAsia="zh-CN"/>
        </w:rPr>
        <w:t>为1</w:t>
      </w:r>
      <w:r>
        <w:rPr>
          <w:rFonts w:hint="eastAsia" w:ascii="仿宋_GB2312" w:hAnsi="仿宋_GB2312" w:eastAsia="仿宋_GB2312" w:cs="仿宋_GB2312"/>
          <w:kern w:val="0"/>
          <w:sz w:val="32"/>
          <w:szCs w:val="32"/>
        </w:rPr>
        <w:t>年，保证期自验收合格之日起算；</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（2）在保证期内</w:t>
      </w:r>
      <w:r>
        <w:rPr>
          <w:rFonts w:hint="eastAsia" w:ascii="仿宋_GB2312" w:hAnsi="仿宋_GB2312" w:eastAsia="仿宋_GB2312" w:cs="仿宋_GB2312"/>
          <w:kern w:val="0"/>
          <w:sz w:val="32"/>
          <w:szCs w:val="32"/>
          <w:lang w:val="en-US" w:eastAsia="zh-CN"/>
        </w:rPr>
        <w:t>设备或本次相关服务</w:t>
      </w:r>
      <w:r>
        <w:rPr>
          <w:rFonts w:hint="eastAsia" w:ascii="仿宋_GB2312" w:hAnsi="仿宋_GB2312" w:eastAsia="仿宋_GB2312" w:cs="仿宋_GB2312"/>
          <w:kern w:val="0"/>
          <w:sz w:val="32"/>
          <w:szCs w:val="32"/>
        </w:rPr>
        <w:t>出现问题，报价单位应在4小时内响应，并在</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个工作日内进行</w:t>
      </w:r>
      <w:r>
        <w:rPr>
          <w:rFonts w:hint="eastAsia" w:ascii="仿宋_GB2312" w:hAnsi="仿宋_GB2312" w:eastAsia="仿宋_GB2312" w:cs="仿宋_GB2312"/>
          <w:kern w:val="0"/>
          <w:sz w:val="32"/>
          <w:szCs w:val="32"/>
          <w:lang w:val="en-US" w:eastAsia="zh-CN"/>
        </w:rPr>
        <w:t>免费消缺</w:t>
      </w:r>
      <w:r>
        <w:rPr>
          <w:rFonts w:hint="eastAsia" w:ascii="仿宋_GB2312" w:hAnsi="仿宋_GB2312" w:eastAsia="仿宋_GB2312" w:cs="仿宋_GB2312"/>
          <w:kern w:val="0"/>
          <w:sz w:val="32"/>
          <w:szCs w:val="32"/>
        </w:rPr>
        <w:t>以消除</w:t>
      </w:r>
      <w:r>
        <w:rPr>
          <w:rFonts w:hint="eastAsia" w:ascii="仿宋_GB2312" w:hAnsi="仿宋_GB2312" w:eastAsia="仿宋_GB2312" w:cs="仿宋_GB2312"/>
          <w:kern w:val="0"/>
          <w:sz w:val="32"/>
          <w:szCs w:val="32"/>
          <w:lang w:val="en-US" w:eastAsia="zh-CN"/>
        </w:rPr>
        <w:t>缺陷</w:t>
      </w:r>
      <w:r>
        <w:rPr>
          <w:rFonts w:hint="eastAsia" w:ascii="仿宋_GB2312" w:hAnsi="仿宋_GB2312" w:eastAsia="仿宋_GB2312" w:cs="仿宋_GB2312"/>
          <w:kern w:val="0"/>
          <w:sz w:val="32"/>
          <w:szCs w:val="32"/>
        </w:rPr>
        <w:t>问题。</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四、报价要求</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1.投标报价应为含税全包价，包括提供相关服务的所有费用，包括人工费、</w:t>
      </w:r>
      <w:r>
        <w:rPr>
          <w:rFonts w:hint="eastAsia" w:ascii="仿宋_GB2312" w:hAnsi="仿宋" w:eastAsia="仿宋_GB2312" w:cs="Arial"/>
          <w:kern w:val="0"/>
          <w:sz w:val="32"/>
          <w:szCs w:val="32"/>
          <w:lang w:val="en-US" w:eastAsia="zh-CN"/>
        </w:rPr>
        <w:t>运输、调试、</w:t>
      </w:r>
      <w:r>
        <w:rPr>
          <w:rFonts w:hint="eastAsia" w:ascii="仿宋_GB2312" w:hAnsi="仿宋" w:eastAsia="仿宋_GB2312" w:cs="Arial"/>
          <w:kern w:val="0"/>
          <w:sz w:val="32"/>
          <w:szCs w:val="32"/>
        </w:rPr>
        <w:t>利润、税金、综合考虑风险因素及政策性文件规定的各项应有费用。</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2.价格形式：固定总价。</w:t>
      </w:r>
    </w:p>
    <w:p>
      <w:pPr>
        <w:spacing w:line="560" w:lineRule="exact"/>
        <w:ind w:firstLine="640" w:firstLineChars="200"/>
        <w:rPr>
          <w:rFonts w:ascii="仿宋_GB2312" w:hAnsi="仿宋" w:eastAsia="仿宋_GB2312" w:cs="Arial"/>
          <w:kern w:val="0"/>
          <w:sz w:val="32"/>
          <w:szCs w:val="32"/>
          <w:highlight w:val="none"/>
        </w:rPr>
      </w:pPr>
      <w:r>
        <w:rPr>
          <w:rFonts w:hint="eastAsia" w:ascii="仿宋_GB2312" w:hAnsi="仿宋" w:eastAsia="仿宋_GB2312" w:cs="Arial"/>
          <w:kern w:val="0"/>
          <w:sz w:val="32"/>
          <w:szCs w:val="32"/>
        </w:rPr>
        <w:t>3.报价不得超过采购预算金额，</w:t>
      </w:r>
      <w:r>
        <w:rPr>
          <w:rFonts w:hint="eastAsia" w:ascii="仿宋_GB2312" w:hAnsi="仿宋" w:eastAsia="仿宋_GB2312" w:cs="Arial"/>
          <w:kern w:val="0"/>
          <w:sz w:val="32"/>
          <w:szCs w:val="32"/>
          <w:highlight w:val="none"/>
          <w:lang w:val="en-US" w:eastAsia="zh-CN"/>
        </w:rPr>
        <w:t>且应满足本询价采购公告要求，</w:t>
      </w:r>
      <w:r>
        <w:rPr>
          <w:rFonts w:hint="eastAsia" w:ascii="仿宋_GB2312" w:hAnsi="仿宋" w:eastAsia="仿宋_GB2312" w:cs="Arial"/>
          <w:kern w:val="0"/>
          <w:sz w:val="32"/>
          <w:szCs w:val="32"/>
          <w:highlight w:val="none"/>
        </w:rPr>
        <w:t>否则报价无效。</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4.报价文件资料需提供</w:t>
      </w:r>
      <w:r>
        <w:rPr>
          <w:rFonts w:hint="eastAsia" w:ascii="仿宋_GB2312" w:hAnsi="仿宋" w:eastAsia="仿宋_GB2312" w:cs="Arial"/>
          <w:kern w:val="0"/>
          <w:sz w:val="32"/>
          <w:szCs w:val="32"/>
          <w:lang w:val="en-US" w:eastAsia="zh-CN"/>
        </w:rPr>
        <w:t>1</w:t>
      </w:r>
      <w:r>
        <w:rPr>
          <w:rFonts w:hint="eastAsia" w:ascii="仿宋_GB2312" w:hAnsi="仿宋" w:eastAsia="仿宋_GB2312" w:cs="Arial"/>
          <w:kern w:val="0"/>
          <w:sz w:val="32"/>
          <w:szCs w:val="32"/>
        </w:rPr>
        <w:t>份，包括：</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（1）确认函（附件1）</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（2）报价单（附件2）</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（3）营业执照</w:t>
      </w:r>
    </w:p>
    <w:p>
      <w:pPr>
        <w:spacing w:line="560" w:lineRule="exact"/>
        <w:ind w:firstLine="640" w:firstLineChars="200"/>
        <w:rPr>
          <w:rFonts w:hint="eastAsia" w:ascii="仿宋_GB2312" w:hAnsi="仿宋" w:eastAsia="仿宋_GB2312" w:cs="Arial"/>
          <w:kern w:val="0"/>
          <w:sz w:val="32"/>
          <w:szCs w:val="32"/>
        </w:rPr>
      </w:pPr>
      <w:r>
        <w:rPr>
          <w:rFonts w:hint="eastAsia" w:ascii="仿宋_GB2312" w:hAnsi="仿宋" w:eastAsia="仿宋_GB2312" w:cs="Arial"/>
          <w:kern w:val="0"/>
          <w:sz w:val="32"/>
          <w:szCs w:val="32"/>
        </w:rPr>
        <w:t>（4）合同业绩证明（包含合同首页、签字盖章页及</w:t>
      </w:r>
      <w:r>
        <w:rPr>
          <w:rFonts w:hint="eastAsia" w:ascii="仿宋_GB2312" w:hAnsi="仿宋_GB2312" w:eastAsia="仿宋_GB2312" w:cs="仿宋_GB2312"/>
          <w:color w:val="000000"/>
          <w:kern w:val="0"/>
          <w:sz w:val="32"/>
          <w:szCs w:val="32"/>
          <w:highlight w:val="none"/>
          <w:lang w:val="en-US" w:eastAsia="zh-CN"/>
        </w:rPr>
        <w:t>网安应接尽接服务</w:t>
      </w:r>
      <w:r>
        <w:rPr>
          <w:rFonts w:hint="eastAsia" w:ascii="仿宋_GB2312" w:hAnsi="仿宋_GB2312" w:eastAsia="仿宋_GB2312" w:cs="仿宋_GB2312"/>
          <w:color w:val="000000"/>
          <w:kern w:val="0"/>
          <w:sz w:val="32"/>
          <w:szCs w:val="32"/>
          <w:highlight w:val="none"/>
        </w:rPr>
        <w:t>业绩</w:t>
      </w:r>
      <w:r>
        <w:rPr>
          <w:rFonts w:hint="eastAsia" w:ascii="仿宋_GB2312" w:hAnsi="仿宋" w:eastAsia="仿宋_GB2312" w:cs="Arial"/>
          <w:kern w:val="0"/>
          <w:sz w:val="32"/>
          <w:szCs w:val="32"/>
        </w:rPr>
        <w:t>的合同关键页）等。</w:t>
      </w:r>
    </w:p>
    <w:p>
      <w:pPr>
        <w:spacing w:line="560" w:lineRule="exact"/>
        <w:ind w:firstLine="640" w:firstLineChars="200"/>
        <w:rPr>
          <w:rFonts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kern w:val="0"/>
          <w:sz w:val="32"/>
          <w:szCs w:val="32"/>
        </w:rPr>
        <w:t>以上材料需</w:t>
      </w:r>
      <w:r>
        <w:rPr>
          <w:rFonts w:hint="eastAsia" w:ascii="仿宋_GB2312" w:hAnsi="仿宋_GB2312" w:eastAsia="仿宋_GB2312" w:cs="仿宋_GB2312"/>
          <w:kern w:val="0"/>
          <w:sz w:val="32"/>
          <w:szCs w:val="32"/>
          <w:highlight w:val="none"/>
        </w:rPr>
        <w:t>左侧双钉</w:t>
      </w:r>
      <w:r>
        <w:rPr>
          <w:rFonts w:hint="eastAsia" w:ascii="仿宋_GB2312" w:hAnsi="仿宋_GB2312" w:eastAsia="仿宋_GB2312" w:cs="仿宋_GB2312"/>
          <w:kern w:val="0"/>
          <w:sz w:val="32"/>
          <w:szCs w:val="32"/>
        </w:rPr>
        <w:t>装订成册，其中第（1）、（2）条需按照附件格式要求打印并加盖公章，第（3）、（4）</w:t>
      </w:r>
      <w:r>
        <w:rPr>
          <w:rFonts w:hint="eastAsia" w:ascii="仿宋_GB2312" w:hAnsi="仿宋_GB2312" w:eastAsia="仿宋_GB2312" w:cs="仿宋_GB2312"/>
          <w:color w:val="000000" w:themeColor="text1"/>
          <w:sz w:val="32"/>
          <w:szCs w:val="36"/>
          <w14:textFill>
            <w14:solidFill>
              <w14:schemeClr w14:val="tx1"/>
            </w14:solidFill>
          </w14:textFill>
        </w:rPr>
        <w:t>条应提供原件或复印件，如提供复印件</w:t>
      </w:r>
      <w:r>
        <w:rPr>
          <w:rFonts w:hint="eastAsia" w:ascii="仿宋_GB2312" w:hAnsi="仿宋_GB2312" w:eastAsia="仿宋_GB2312" w:cs="仿宋_GB2312"/>
          <w:color w:val="000000" w:themeColor="text1"/>
          <w:sz w:val="32"/>
          <w:szCs w:val="36"/>
          <w:lang w:val="en-US" w:eastAsia="zh-CN"/>
          <w14:textFill>
            <w14:solidFill>
              <w14:schemeClr w14:val="tx1"/>
            </w14:solidFill>
          </w14:textFill>
        </w:rPr>
        <w:t>须</w:t>
      </w:r>
      <w:r>
        <w:rPr>
          <w:rFonts w:hint="eastAsia" w:ascii="仿宋_GB2312" w:hAnsi="仿宋_GB2312" w:eastAsia="仿宋_GB2312" w:cs="仿宋_GB2312"/>
          <w:color w:val="000000" w:themeColor="text1"/>
          <w:sz w:val="32"/>
          <w:szCs w:val="36"/>
          <w14:textFill>
            <w14:solidFill>
              <w14:schemeClr w14:val="tx1"/>
            </w14:solidFill>
          </w14:textFill>
        </w:rPr>
        <w:t>加盖公章。</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五、评标方式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六、报价截止时间、形式</w:t>
      </w:r>
    </w:p>
    <w:p>
      <w:pPr>
        <w:spacing w:line="560" w:lineRule="exact"/>
        <w:ind w:firstLine="645"/>
        <w:rPr>
          <w:rFonts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rPr>
        <w:t>1.报价截止时间：</w:t>
      </w:r>
      <w:r>
        <w:rPr>
          <w:rFonts w:hint="eastAsia" w:ascii="仿宋_GB2312" w:hAnsi="仿宋_GB2312" w:eastAsia="仿宋_GB2312" w:cs="仿宋_GB2312"/>
          <w:kern w:val="0"/>
          <w:sz w:val="32"/>
          <w:szCs w:val="32"/>
          <w:highlight w:val="none"/>
        </w:rPr>
        <w:t>202</w:t>
      </w:r>
      <w:bookmarkStart w:id="1" w:name="_GoBack"/>
      <w:bookmarkEnd w:id="1"/>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日1</w:t>
      </w:r>
      <w:r>
        <w:rPr>
          <w:rFonts w:hint="eastAsia" w:ascii="仿宋_GB2312" w:hAnsi="仿宋_GB2312" w:eastAsia="仿宋_GB2312" w:cs="仿宋_GB2312"/>
          <w:kern w:val="0"/>
          <w:sz w:val="32"/>
          <w:szCs w:val="32"/>
          <w:highlight w:val="none"/>
          <w:lang w:val="en-US" w:eastAsia="zh-CN"/>
        </w:rPr>
        <w:t>0:0</w:t>
      </w:r>
      <w:r>
        <w:rPr>
          <w:rFonts w:hint="eastAsia" w:ascii="仿宋_GB2312" w:hAnsi="仿宋_GB2312" w:eastAsia="仿宋_GB2312" w:cs="仿宋_GB2312"/>
          <w:kern w:val="0"/>
          <w:sz w:val="32"/>
          <w:szCs w:val="32"/>
          <w:highlight w:val="none"/>
        </w:rPr>
        <w:t>0。</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报价文件需按照附件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格式进行密封，并在第1条所示报价截止时间前将报价材料送达到第3条所示邮寄地址。如未在报价截止时间前送达则报价无效。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3.邮寄地址：山东省青岛市崂山区香港东路195号上实中心T2楼14层。</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七、公告期限</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自本项目公告发出之日起至报价截止时间止。</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八、联系方式</w:t>
      </w:r>
    </w:p>
    <w:p>
      <w:pPr>
        <w:spacing w:line="560" w:lineRule="exact"/>
        <w:ind w:firstLine="645"/>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lang w:val="en-US" w:eastAsia="zh-CN"/>
        </w:rPr>
        <w:t>张凯</w:t>
      </w:r>
      <w:r>
        <w:rPr>
          <w:rFonts w:hint="eastAsia" w:ascii="仿宋_GB2312" w:hAnsi="仿宋_GB2312" w:eastAsia="仿宋_GB2312" w:cs="仿宋_GB2312"/>
          <w:kern w:val="0"/>
          <w:sz w:val="32"/>
          <w:szCs w:val="32"/>
        </w:rPr>
        <w:t xml:space="preserve">      联系电话：</w:t>
      </w:r>
      <w:r>
        <w:rPr>
          <w:rFonts w:hint="eastAsia" w:ascii="仿宋_GB2312" w:hAnsi="仿宋_GB2312" w:eastAsia="仿宋_GB2312" w:cs="仿宋_GB2312"/>
          <w:kern w:val="0"/>
          <w:sz w:val="32"/>
          <w:szCs w:val="32"/>
          <w:lang w:val="en-US" w:eastAsia="zh-CN"/>
        </w:rPr>
        <w:t>15954308239</w:t>
      </w:r>
    </w:p>
    <w:p>
      <w:pPr>
        <w:widowControl/>
        <w:spacing w:line="560" w:lineRule="exact"/>
        <w:ind w:left="4120" w:leftChars="1200" w:hanging="1600" w:hangingChars="500"/>
        <w:jc w:val="left"/>
        <w:rPr>
          <w:rFonts w:ascii="仿宋_GB2312" w:hAnsi="仿宋_GB2312" w:eastAsia="仿宋_GB2312" w:cs="仿宋_GB2312"/>
          <w:kern w:val="0"/>
          <w:sz w:val="32"/>
          <w:szCs w:val="32"/>
        </w:rPr>
      </w:pPr>
    </w:p>
    <w:p>
      <w:pPr>
        <w:pStyle w:val="2"/>
      </w:pPr>
    </w:p>
    <w:p>
      <w:pPr>
        <w:pageBreakBefore w:val="0"/>
        <w:widowControl w:val="0"/>
        <w:kinsoku/>
        <w:wordWrap/>
        <w:overflowPunct/>
        <w:topLinePunct w:val="0"/>
        <w:autoSpaceDE/>
        <w:autoSpaceDN/>
        <w:bidi w:val="0"/>
        <w:adjustRightInd/>
        <w:snapToGrid/>
        <w:spacing w:line="560" w:lineRule="exact"/>
        <w:ind w:firstLine="2560" w:firstLineChars="8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采购单位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highlight w:val="none"/>
          <w:lang w:val="en-US" w:eastAsia="zh-CN"/>
        </w:rPr>
        <w:t>青岛城投新能源集团有限公司</w:t>
      </w:r>
    </w:p>
    <w:p>
      <w:pPr>
        <w:widowControl/>
        <w:tabs>
          <w:tab w:val="left" w:pos="4200"/>
        </w:tabs>
        <w:spacing w:line="560" w:lineRule="exact"/>
        <w:ind w:firstLine="4160" w:firstLineChars="1300"/>
        <w:jc w:val="both"/>
        <w:rPr>
          <w:rFonts w:ascii="仿宋" w:hAnsi="仿宋" w:eastAsia="仿宋"/>
          <w:sz w:val="32"/>
          <w:szCs w:val="32"/>
        </w:rPr>
      </w:pP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年0</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06</w:t>
      </w:r>
      <w:r>
        <w:rPr>
          <w:rFonts w:hint="eastAsia" w:ascii="仿宋_GB2312" w:hAnsi="仿宋_GB2312" w:eastAsia="仿宋_GB2312" w:cs="仿宋_GB2312"/>
          <w:kern w:val="0"/>
          <w:sz w:val="32"/>
          <w:szCs w:val="32"/>
          <w:highlight w:val="none"/>
        </w:rPr>
        <w:t>日</w:t>
      </w:r>
      <w:r>
        <w:rPr>
          <w:rFonts w:ascii="仿宋" w:hAnsi="仿宋" w:eastAsia="仿宋"/>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附件1</w:t>
      </w:r>
    </w:p>
    <w:p>
      <w:pPr>
        <w:spacing w:line="360" w:lineRule="auto"/>
        <w:jc w:val="center"/>
        <w:rPr>
          <w:rFonts w:hint="eastAsia" w:ascii="宋体" w:hAnsi="宋体" w:cs="宋体"/>
          <w:b/>
          <w:bCs/>
          <w:sz w:val="44"/>
          <w:szCs w:val="44"/>
        </w:rPr>
      </w:pPr>
      <w:r>
        <w:rPr>
          <w:rFonts w:hint="eastAsia" w:ascii="宋体" w:hAnsi="宋体" w:cs="宋体"/>
          <w:b/>
          <w:bCs/>
          <w:sz w:val="44"/>
          <w:szCs w:val="44"/>
        </w:rPr>
        <w:t>确认函</w:t>
      </w:r>
    </w:p>
    <w:p>
      <w:pPr>
        <w:snapToGrid w:val="0"/>
        <w:spacing w:line="560" w:lineRule="exact"/>
        <w:rPr>
          <w:rFonts w:ascii="仿宋" w:hAnsi="仿宋" w:eastAsia="仿宋"/>
          <w:sz w:val="32"/>
          <w:szCs w:val="32"/>
        </w:rPr>
      </w:pP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_GB2312"/>
          <w:sz w:val="32"/>
          <w:szCs w:val="32"/>
          <w:lang w:eastAsia="zh-CN"/>
        </w:rPr>
      </w:pPr>
      <w:r>
        <w:rPr>
          <w:rFonts w:hint="eastAsia" w:ascii="仿宋" w:hAnsi="仿宋" w:eastAsia="仿宋"/>
          <w:sz w:val="32"/>
          <w:szCs w:val="32"/>
        </w:rPr>
        <w:t>致：</w:t>
      </w:r>
      <w:r>
        <w:rPr>
          <w:rFonts w:hint="eastAsia" w:ascii="仿宋_GB2312" w:hAnsi="仿宋_GB2312" w:eastAsia="仿宋_GB2312" w:cs="仿宋_GB2312"/>
          <w:color w:val="auto"/>
          <w:kern w:val="0"/>
          <w:sz w:val="32"/>
          <w:szCs w:val="32"/>
          <w:highlight w:val="none"/>
          <w:lang w:val="en-US" w:eastAsia="zh-CN"/>
        </w:rPr>
        <w:t>青岛城投新能源集团有限公司</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根据已收到的贵方</w:t>
      </w:r>
      <w:r>
        <w:rPr>
          <w:rFonts w:hint="eastAsia" w:ascii="仿宋_GB2312" w:hAnsi="仿宋_GB2312" w:eastAsia="仿宋_GB2312" w:cs="仿宋_GB2312"/>
          <w:kern w:val="0"/>
          <w:sz w:val="32"/>
          <w:szCs w:val="32"/>
          <w:u w:val="single"/>
          <w:lang w:val="en-US" w:eastAsia="zh-CN"/>
        </w:rPr>
        <w:t>山东南曹鼎浩、崔阁明盛、德州豪盛光伏电站应接尽接采购</w:t>
      </w:r>
      <w:r>
        <w:rPr>
          <w:rFonts w:hint="eastAsia" w:ascii="仿宋" w:hAnsi="仿宋" w:eastAsia="仿宋"/>
          <w:sz w:val="32"/>
          <w:szCs w:val="32"/>
          <w:u w:val="single"/>
          <w:lang w:val="en-US" w:eastAsia="zh-CN"/>
        </w:rPr>
        <w:t>公告</w:t>
      </w:r>
      <w:r>
        <w:rPr>
          <w:rFonts w:hint="eastAsia" w:ascii="仿宋" w:hAnsi="仿宋" w:eastAsia="仿宋"/>
          <w:sz w:val="32"/>
          <w:szCs w:val="32"/>
        </w:rPr>
        <w:t>，经仔细研究，我方已完全理解并全部接受询价采购公告的所有要求。考虑到了潜在的所有风险，我方愿按公告中明确要求提供我方报价并作如下承诺：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4.我方承诺已考虑了公告所要求的所有内容，并为报价材料及成果承担法律责任。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5.我方同意承担报价所发生的一切费用。</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 xml:space="preserve">报价单位名称（公章）：                 </w:t>
      </w:r>
    </w:p>
    <w:p>
      <w:pPr>
        <w:snapToGrid w:val="0"/>
        <w:spacing w:line="560" w:lineRule="exact"/>
        <w:rPr>
          <w:rFonts w:ascii="仿宋" w:hAnsi="仿宋" w:eastAsia="仿宋"/>
          <w:sz w:val="32"/>
          <w:szCs w:val="32"/>
        </w:rPr>
      </w:pPr>
      <w:r>
        <w:rPr>
          <w:rFonts w:hint="eastAsia" w:ascii="仿宋" w:hAnsi="仿宋" w:eastAsia="仿宋"/>
          <w:sz w:val="32"/>
          <w:szCs w:val="32"/>
        </w:rPr>
        <w:t>法人代表（签字或盖章）：</w:t>
      </w:r>
    </w:p>
    <w:p>
      <w:pPr>
        <w:snapToGrid w:val="0"/>
        <w:spacing w:line="560" w:lineRule="exact"/>
        <w:rPr>
          <w:rFonts w:ascii="仿宋" w:hAnsi="仿宋" w:eastAsia="仿宋"/>
          <w:sz w:val="32"/>
          <w:szCs w:val="32"/>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pPr>
      <w:r>
        <w:rPr>
          <w:rFonts w:hint="eastAsia" w:ascii="仿宋" w:hAnsi="仿宋" w:eastAsia="仿宋"/>
          <w:sz w:val="32"/>
          <w:szCs w:val="32"/>
        </w:rPr>
        <w:t>联系方式：</w:t>
      </w:r>
    </w:p>
    <w:p>
      <w:pPr>
        <w:snapToGrid w:val="0"/>
        <w:spacing w:line="56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pageBreakBefore w:val="0"/>
        <w:widowControl w:val="0"/>
        <w:kinsoku/>
        <w:wordWrap/>
        <w:overflowPunct/>
        <w:topLinePunct w:val="0"/>
        <w:autoSpaceDE/>
        <w:autoSpaceDN/>
        <w:bidi w:val="0"/>
        <w:adjustRightInd/>
        <w:snapToGrid/>
        <w:spacing w:line="560" w:lineRule="exact"/>
        <w:ind w:left="638" w:leftChars="304" w:firstLine="0" w:firstLineChars="0"/>
        <w:jc w:val="center"/>
        <w:textAlignment w:val="auto"/>
        <w:outlineLvl w:val="9"/>
        <w:rPr>
          <w:rFonts w:hint="eastAsia" w:ascii="仿宋" w:hAnsi="仿宋" w:eastAsia="仿宋" w:cs="仿宋"/>
          <w:b/>
          <w:sz w:val="32"/>
          <w:szCs w:val="32"/>
          <w:u w:val="single"/>
          <w:lang w:eastAsia="zh-CN"/>
        </w:rPr>
      </w:pPr>
      <w:r>
        <w:rPr>
          <w:rFonts w:hint="eastAsia" w:ascii="仿宋" w:hAnsi="仿宋" w:eastAsia="仿宋" w:cs="仿宋"/>
          <w:b/>
          <w:sz w:val="32"/>
          <w:szCs w:val="32"/>
          <w:u w:val="single"/>
          <w:lang w:val="en-US" w:eastAsia="zh-CN"/>
        </w:rPr>
        <w:t>山东南曹鼎浩、崔阁明盛、德州豪盛光伏电站应接尽接采购报价单</w:t>
      </w:r>
    </w:p>
    <w:tbl>
      <w:tblPr>
        <w:tblStyle w:val="7"/>
        <w:tblW w:w="983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66"/>
        <w:gridCol w:w="5325"/>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27" w:type="dxa"/>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序号</w:t>
            </w:r>
          </w:p>
        </w:tc>
        <w:tc>
          <w:tcPr>
            <w:tcW w:w="2266" w:type="dxa"/>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服务内容</w:t>
            </w:r>
          </w:p>
        </w:tc>
        <w:tc>
          <w:tcPr>
            <w:tcW w:w="5325" w:type="dxa"/>
            <w:vAlign w:val="center"/>
          </w:tcPr>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报价（元）</w:t>
            </w:r>
          </w:p>
        </w:tc>
        <w:tc>
          <w:tcPr>
            <w:tcW w:w="1419" w:type="dxa"/>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rPr>
              <w:t>采购预算金额</w:t>
            </w:r>
            <w:r>
              <w:rPr>
                <w:rFonts w:hint="eastAsia" w:ascii="仿宋" w:hAnsi="仿宋" w:eastAsia="仿宋" w:cs="仿宋"/>
                <w:sz w:val="28"/>
                <w:szCs w:val="28"/>
                <w:lang w:val="en-US" w:eastAsia="zh-CN"/>
              </w:rPr>
              <w:t>上限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元</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827" w:type="dxa"/>
            <w:vAlign w:val="center"/>
          </w:tcPr>
          <w:p>
            <w:pPr>
              <w:spacing w:line="56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w:t>
            </w:r>
          </w:p>
        </w:tc>
        <w:tc>
          <w:tcPr>
            <w:tcW w:w="2266" w:type="dxa"/>
            <w:vAlign w:val="center"/>
          </w:tcPr>
          <w:p>
            <w:pPr>
              <w:spacing w:line="56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南曹鼎浩项目</w:t>
            </w:r>
          </w:p>
        </w:tc>
        <w:tc>
          <w:tcPr>
            <w:tcW w:w="5325" w:type="dxa"/>
            <w:vAlign w:val="center"/>
          </w:tcPr>
          <w:p>
            <w:pPr>
              <w:spacing w:line="560" w:lineRule="exact"/>
              <w:jc w:val="left"/>
              <w:rPr>
                <w:rFonts w:hint="eastAsia" w:ascii="仿宋" w:hAnsi="仿宋" w:eastAsia="仿宋" w:cs="仿宋"/>
                <w:sz w:val="28"/>
                <w:szCs w:val="28"/>
                <w:u w:val="single"/>
                <w:lang w:val="en-US" w:eastAsia="zh-CN"/>
              </w:rPr>
            </w:pPr>
          </w:p>
        </w:tc>
        <w:tc>
          <w:tcPr>
            <w:tcW w:w="1419" w:type="dxa"/>
            <w:vAlign w:val="center"/>
          </w:tcPr>
          <w:p>
            <w:pPr>
              <w:spacing w:line="560" w:lineRule="exact"/>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827" w:type="dxa"/>
            <w:vAlign w:val="center"/>
          </w:tcPr>
          <w:p>
            <w:pPr>
              <w:spacing w:line="56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w:t>
            </w:r>
          </w:p>
        </w:tc>
        <w:tc>
          <w:tcPr>
            <w:tcW w:w="2266" w:type="dxa"/>
            <w:vAlign w:val="center"/>
          </w:tcPr>
          <w:p>
            <w:pPr>
              <w:spacing w:line="560" w:lineRule="exact"/>
              <w:jc w:val="center"/>
              <w:rPr>
                <w:rFonts w:hint="eastAsia" w:ascii="仿宋" w:hAnsi="仿宋" w:eastAsia="仿宋" w:cs="仿宋"/>
                <w:bCs/>
                <w:sz w:val="28"/>
                <w:szCs w:val="28"/>
              </w:rPr>
            </w:pPr>
            <w:r>
              <w:rPr>
                <w:rFonts w:hint="eastAsia" w:ascii="仿宋" w:hAnsi="仿宋" w:eastAsia="仿宋" w:cs="仿宋"/>
                <w:bCs/>
                <w:sz w:val="28"/>
                <w:szCs w:val="28"/>
                <w:lang w:val="en-US" w:eastAsia="zh-CN"/>
              </w:rPr>
              <w:t>崔阁明盛项目</w:t>
            </w:r>
          </w:p>
        </w:tc>
        <w:tc>
          <w:tcPr>
            <w:tcW w:w="5325" w:type="dxa"/>
            <w:vAlign w:val="center"/>
          </w:tcPr>
          <w:p>
            <w:pPr>
              <w:pStyle w:val="2"/>
              <w:ind w:left="0" w:leftChars="0" w:firstLine="0" w:firstLineChars="0"/>
              <w:rPr>
                <w:rFonts w:hint="eastAsia" w:ascii="仿宋" w:hAnsi="仿宋" w:eastAsia="仿宋" w:cs="仿宋"/>
                <w:sz w:val="28"/>
                <w:szCs w:val="28"/>
                <w:lang w:val="en-US"/>
              </w:rPr>
            </w:pPr>
          </w:p>
        </w:tc>
        <w:tc>
          <w:tcPr>
            <w:tcW w:w="1419" w:type="dxa"/>
            <w:vAlign w:val="center"/>
          </w:tcPr>
          <w:p>
            <w:pPr>
              <w:spacing w:line="560" w:lineRule="exact"/>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74000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827" w:type="dxa"/>
            <w:vAlign w:val="center"/>
          </w:tcPr>
          <w:p>
            <w:pPr>
              <w:spacing w:line="560" w:lineRule="exact"/>
              <w:jc w:val="center"/>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3</w:t>
            </w:r>
          </w:p>
        </w:tc>
        <w:tc>
          <w:tcPr>
            <w:tcW w:w="2266" w:type="dxa"/>
            <w:vAlign w:val="center"/>
          </w:tcPr>
          <w:p>
            <w:pPr>
              <w:spacing w:line="560" w:lineRule="exact"/>
              <w:jc w:val="center"/>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德州豪盛项目</w:t>
            </w:r>
          </w:p>
        </w:tc>
        <w:tc>
          <w:tcPr>
            <w:tcW w:w="5325" w:type="dxa"/>
            <w:vAlign w:val="center"/>
          </w:tcPr>
          <w:p>
            <w:pPr>
              <w:spacing w:line="560" w:lineRule="exact"/>
              <w:jc w:val="left"/>
              <w:rPr>
                <w:rFonts w:hint="eastAsia" w:ascii="仿宋" w:hAnsi="仿宋" w:eastAsia="仿宋" w:cs="仿宋"/>
                <w:sz w:val="28"/>
                <w:szCs w:val="28"/>
                <w:lang w:val="en-US" w:eastAsia="zh-CN"/>
              </w:rPr>
            </w:pPr>
          </w:p>
        </w:tc>
        <w:tc>
          <w:tcPr>
            <w:tcW w:w="1419" w:type="dxa"/>
            <w:vAlign w:val="center"/>
          </w:tcPr>
          <w:p>
            <w:pPr>
              <w:spacing w:line="560" w:lineRule="exact"/>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66000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3093" w:type="dxa"/>
            <w:gridSpan w:val="2"/>
            <w:vAlign w:val="center"/>
          </w:tcPr>
          <w:p>
            <w:pPr>
              <w:spacing w:line="560" w:lineRule="exact"/>
              <w:jc w:val="center"/>
              <w:rPr>
                <w:rFonts w:hint="eastAsia" w:ascii="仿宋" w:hAnsi="仿宋" w:eastAsia="仿宋" w:cs="仿宋"/>
                <w:bCs/>
                <w:sz w:val="28"/>
                <w:szCs w:val="28"/>
              </w:rPr>
            </w:pPr>
            <w:r>
              <w:rPr>
                <w:rFonts w:hint="eastAsia" w:ascii="仿宋" w:hAnsi="仿宋" w:eastAsia="仿宋" w:cs="仿宋"/>
                <w:sz w:val="28"/>
                <w:szCs w:val="28"/>
                <w:lang w:val="en-US" w:eastAsia="zh-CN"/>
              </w:rPr>
              <w:t>合计含税</w:t>
            </w:r>
            <w:r>
              <w:rPr>
                <w:rFonts w:hint="eastAsia" w:ascii="仿宋" w:hAnsi="仿宋" w:eastAsia="仿宋" w:cs="仿宋"/>
                <w:sz w:val="28"/>
                <w:szCs w:val="28"/>
              </w:rPr>
              <w:t>总报价（元）</w:t>
            </w:r>
          </w:p>
        </w:tc>
        <w:tc>
          <w:tcPr>
            <w:tcW w:w="6744" w:type="dxa"/>
            <w:gridSpan w:val="2"/>
            <w:vAlign w:val="center"/>
          </w:tcPr>
          <w:p>
            <w:pPr>
              <w:ind w:right="480"/>
              <w:jc w:val="left"/>
              <w:rPr>
                <w:rFonts w:hint="eastAsia" w:ascii="仿宋" w:hAnsi="仿宋" w:eastAsia="仿宋" w:cs="仿宋"/>
                <w:sz w:val="28"/>
                <w:szCs w:val="28"/>
                <w:u w:val="single"/>
                <w:lang w:val="en-US" w:eastAsia="zh-CN"/>
              </w:rPr>
            </w:pPr>
            <w:r>
              <w:rPr>
                <w:rFonts w:hint="eastAsia" w:ascii="仿宋" w:hAnsi="仿宋" w:eastAsia="仿宋" w:cs="仿宋"/>
                <w:sz w:val="28"/>
                <w:szCs w:val="28"/>
              </w:rPr>
              <w:t>小写：</w:t>
            </w:r>
            <w:r>
              <w:rPr>
                <w:rFonts w:hint="eastAsia" w:ascii="仿宋" w:hAnsi="仿宋" w:eastAsia="仿宋" w:cs="仿宋"/>
                <w:sz w:val="28"/>
                <w:szCs w:val="28"/>
                <w:u w:val="single"/>
                <w:lang w:val="en-US" w:eastAsia="zh-CN"/>
              </w:rPr>
              <w:t xml:space="preserve">                 </w:t>
            </w:r>
          </w:p>
          <w:p>
            <w:pPr>
              <w:spacing w:line="560" w:lineRule="exact"/>
              <w:jc w:val="left"/>
              <w:rPr>
                <w:rFonts w:hint="eastAsia" w:ascii="仿宋" w:hAnsi="仿宋" w:eastAsia="仿宋" w:cs="仿宋"/>
                <w:sz w:val="28"/>
                <w:szCs w:val="28"/>
              </w:rPr>
            </w:pPr>
            <w:r>
              <w:rPr>
                <w:rFonts w:hint="eastAsia" w:ascii="仿宋" w:hAnsi="仿宋" w:eastAsia="仿宋" w:cs="仿宋"/>
                <w:sz w:val="28"/>
                <w:szCs w:val="28"/>
              </w:rPr>
              <w:t>大写：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c>
      </w:tr>
    </w:tbl>
    <w:p>
      <w:pPr>
        <w:spacing w:line="560" w:lineRule="exact"/>
        <w:rPr>
          <w:rFonts w:ascii="仿宋" w:hAnsi="仿宋" w:eastAsia="仿宋" w:cs="宋体"/>
          <w:sz w:val="28"/>
          <w:szCs w:val="28"/>
        </w:rPr>
      </w:pPr>
      <w:r>
        <w:rPr>
          <w:rFonts w:hint="eastAsia" w:ascii="仿宋" w:hAnsi="仿宋" w:eastAsia="仿宋" w:cs="宋体"/>
          <w:sz w:val="28"/>
          <w:szCs w:val="28"/>
        </w:rPr>
        <w:t>报价说明：</w:t>
      </w:r>
    </w:p>
    <w:p>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1.服务周期</w:t>
      </w:r>
      <w:r>
        <w:rPr>
          <w:rFonts w:hint="eastAsia" w:ascii="仿宋" w:hAnsi="仿宋" w:eastAsia="仿宋" w:cs="宋体"/>
          <w:kern w:val="2"/>
          <w:sz w:val="28"/>
          <w:szCs w:val="28"/>
          <w:lang w:val="en-US" w:eastAsia="zh-CN" w:bidi="ar-SA"/>
        </w:rPr>
        <w:t>：乙方于合同签订之日起30日内</w:t>
      </w:r>
      <w:r>
        <w:rPr>
          <w:rFonts w:hint="eastAsia" w:ascii="仿宋" w:hAnsi="仿宋" w:eastAsia="仿宋" w:cs="宋体"/>
          <w:kern w:val="2"/>
          <w:sz w:val="28"/>
          <w:szCs w:val="28"/>
          <w:lang w:val="zh-CN" w:eastAsia="zh-CN" w:bidi="ar-SA"/>
        </w:rPr>
        <w:t>完成</w:t>
      </w:r>
      <w:r>
        <w:rPr>
          <w:rFonts w:hint="eastAsia" w:ascii="仿宋" w:hAnsi="仿宋" w:eastAsia="仿宋" w:cs="宋体"/>
          <w:kern w:val="2"/>
          <w:sz w:val="28"/>
          <w:szCs w:val="28"/>
          <w:lang w:val="en-US" w:eastAsia="zh-CN" w:bidi="ar-SA"/>
        </w:rPr>
        <w:t>南曹鼎浩、崔阁明盛、德州豪盛项目应接尽接采购、安装并按现场运维人员要求完成全部服务内容。</w:t>
      </w:r>
    </w:p>
    <w:p>
      <w:pPr>
        <w:pStyle w:val="2"/>
        <w:ind w:left="0" w:leftChars="0" w:firstLine="560" w:firstLineChars="200"/>
        <w:rPr>
          <w:rFonts w:hint="eastAsia" w:ascii="仿宋" w:hAnsi="仿宋" w:eastAsia="仿宋" w:cs="仿宋"/>
          <w:sz w:val="28"/>
          <w:szCs w:val="28"/>
        </w:rPr>
      </w:pPr>
      <w:r>
        <w:rPr>
          <w:rFonts w:hint="eastAsia" w:ascii="仿宋" w:hAnsi="仿宋" w:eastAsia="仿宋" w:cs="宋体"/>
          <w:sz w:val="28"/>
          <w:szCs w:val="28"/>
        </w:rPr>
        <w:t>2.本次报价不得超过采购预算价</w:t>
      </w:r>
      <w:r>
        <w:rPr>
          <w:rFonts w:hint="eastAsia" w:ascii="仿宋" w:hAnsi="仿宋" w:eastAsia="仿宋" w:cs="宋体"/>
          <w:sz w:val="28"/>
          <w:szCs w:val="28"/>
          <w:lang w:val="en-US" w:eastAsia="zh-CN"/>
        </w:rPr>
        <w:t>20.7万</w:t>
      </w:r>
      <w:r>
        <w:rPr>
          <w:rFonts w:hint="eastAsia" w:ascii="仿宋" w:hAnsi="仿宋" w:eastAsia="仿宋" w:cs="宋体"/>
          <w:sz w:val="28"/>
          <w:szCs w:val="28"/>
        </w:rPr>
        <w:t>元</w:t>
      </w:r>
      <w:r>
        <w:rPr>
          <w:rFonts w:hint="eastAsia" w:ascii="仿宋" w:hAnsi="仿宋" w:eastAsia="仿宋" w:cs="宋体"/>
          <w:sz w:val="28"/>
          <w:szCs w:val="28"/>
          <w:lang w:val="en-US" w:eastAsia="zh-CN"/>
        </w:rPr>
        <w:t>（南曹鼎浩项目6.7万元、崔阁明盛项目7.4万元、德州豪盛项目6.6万元）</w:t>
      </w:r>
      <w:r>
        <w:rPr>
          <w:rFonts w:hint="eastAsia" w:ascii="仿宋" w:hAnsi="仿宋" w:eastAsia="仿宋" w:cs="宋体"/>
          <w:sz w:val="28"/>
          <w:szCs w:val="28"/>
        </w:rPr>
        <w:t>，中标价为固定总价，报价应包含完成询价采购公告所要求的工作内容的所有费用。</w:t>
      </w:r>
      <w:r>
        <w:rPr>
          <w:rFonts w:hint="eastAsia" w:ascii="仿宋" w:hAnsi="仿宋" w:eastAsia="仿宋" w:cs="宋体"/>
          <w:sz w:val="28"/>
          <w:szCs w:val="28"/>
          <w:lang w:val="en-US" w:eastAsia="zh-CN"/>
        </w:rPr>
        <w:t>项目</w:t>
      </w:r>
      <w:r>
        <w:rPr>
          <w:rFonts w:hint="eastAsia" w:ascii="仿宋" w:hAnsi="仿宋" w:eastAsia="仿宋" w:cs="Calibri"/>
          <w:bCs/>
          <w:kern w:val="2"/>
          <w:sz w:val="28"/>
          <w:szCs w:val="28"/>
          <w:lang w:val="en-US" w:eastAsia="zh-CN" w:bidi="ar-SA"/>
        </w:rPr>
        <w:t>税率6%。</w:t>
      </w: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ascii="仿宋" w:hAnsi="仿宋" w:eastAsia="仿宋" w:cs="仿宋"/>
          <w:sz w:val="28"/>
          <w:szCs w:val="28"/>
          <w:lang w:val="zh-CN"/>
        </w:rPr>
      </w:pPr>
      <w:r>
        <w:rPr>
          <w:rFonts w:hint="eastAsia" w:ascii="仿宋" w:hAnsi="仿宋" w:eastAsia="仿宋" w:cs="仿宋"/>
          <w:sz w:val="28"/>
          <w:szCs w:val="28"/>
        </w:rPr>
        <w:t>报价单位名称</w:t>
      </w:r>
      <w:r>
        <w:rPr>
          <w:rFonts w:hint="eastAsia" w:ascii="仿宋" w:hAnsi="仿宋" w:eastAsia="仿宋" w:cs="仿宋"/>
          <w:sz w:val="28"/>
          <w:szCs w:val="28"/>
          <w:lang w:val="zh-CN"/>
        </w:rPr>
        <w:t>（</w:t>
      </w:r>
      <w:r>
        <w:rPr>
          <w:rFonts w:hint="eastAsia" w:ascii="仿宋" w:hAnsi="仿宋" w:eastAsia="仿宋" w:cs="仿宋"/>
          <w:sz w:val="28"/>
          <w:szCs w:val="28"/>
        </w:rPr>
        <w:t>盖</w:t>
      </w:r>
      <w:r>
        <w:rPr>
          <w:rFonts w:hint="eastAsia" w:ascii="仿宋" w:hAnsi="仿宋" w:eastAsia="仿宋" w:cs="仿宋"/>
          <w:sz w:val="28"/>
          <w:szCs w:val="28"/>
          <w:lang w:val="zh-CN"/>
        </w:rPr>
        <w:t>公章）：</w:t>
      </w:r>
    </w:p>
    <w:p>
      <w:pPr>
        <w:spacing w:line="560" w:lineRule="exact"/>
        <w:rPr>
          <w:rFonts w:ascii="仿宋" w:hAnsi="仿宋" w:eastAsia="仿宋" w:cs="仿宋"/>
          <w:sz w:val="28"/>
          <w:szCs w:val="28"/>
          <w:lang w:val="zh-CN"/>
        </w:rPr>
      </w:pPr>
      <w:r>
        <w:rPr>
          <w:rFonts w:hint="eastAsia" w:ascii="仿宋" w:hAnsi="仿宋" w:eastAsia="仿宋" w:cs="仿宋"/>
          <w:sz w:val="28"/>
          <w:szCs w:val="28"/>
        </w:rPr>
        <w:t>联系人</w:t>
      </w:r>
      <w:r>
        <w:rPr>
          <w:rFonts w:hint="eastAsia" w:ascii="仿宋" w:hAnsi="仿宋" w:eastAsia="仿宋" w:cs="仿宋"/>
          <w:sz w:val="28"/>
          <w:szCs w:val="28"/>
          <w:lang w:val="zh-CN"/>
        </w:rPr>
        <w:t>：</w:t>
      </w:r>
    </w:p>
    <w:p>
      <w:pPr>
        <w:spacing w:line="560" w:lineRule="exact"/>
        <w:rPr>
          <w:rFonts w:ascii="仿宋" w:hAnsi="仿宋" w:eastAsia="仿宋" w:cs="仿宋"/>
          <w:sz w:val="28"/>
          <w:szCs w:val="28"/>
          <w:lang w:val="zh-CN"/>
        </w:rPr>
      </w:pPr>
      <w:r>
        <w:rPr>
          <w:rFonts w:hint="eastAsia" w:ascii="仿宋" w:hAnsi="仿宋" w:eastAsia="仿宋" w:cs="仿宋"/>
          <w:sz w:val="28"/>
          <w:szCs w:val="28"/>
        </w:rPr>
        <w:t>联系电话：</w:t>
      </w:r>
      <w:r>
        <w:rPr>
          <w:rFonts w:hint="eastAsia" w:ascii="仿宋" w:hAnsi="仿宋" w:eastAsia="仿宋" w:cs="仿宋"/>
          <w:sz w:val="28"/>
          <w:szCs w:val="28"/>
          <w:lang w:val="zh-CN"/>
        </w:rPr>
        <w:t xml:space="preserve">              </w:t>
      </w:r>
    </w:p>
    <w:p>
      <w:pPr>
        <w:spacing w:line="560" w:lineRule="exact"/>
        <w:rPr>
          <w:rFonts w:ascii="仿宋" w:hAnsi="仿宋" w:eastAsia="仿宋" w:cs="宋体"/>
          <w:color w:val="auto"/>
          <w:sz w:val="28"/>
          <w:szCs w:val="28"/>
          <w:highlight w:val="none"/>
        </w:rPr>
      </w:pPr>
      <w:r>
        <w:rPr>
          <w:rFonts w:hint="eastAsia" w:ascii="仿宋" w:hAnsi="仿宋" w:eastAsia="仿宋" w:cs="仿宋"/>
          <w:color w:val="auto"/>
          <w:sz w:val="28"/>
          <w:szCs w:val="28"/>
          <w:highlight w:val="none"/>
          <w:lang w:val="zh-CN"/>
        </w:rPr>
        <w:t>日期：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宋体"/>
          <w:color w:val="auto"/>
          <w:sz w:val="28"/>
          <w:szCs w:val="28"/>
          <w:highlight w:val="none"/>
        </w:rPr>
        <w:t xml:space="preserve">年 </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日</w:t>
      </w:r>
    </w:p>
    <w:p>
      <w:pPr>
        <w:pStyle w:val="2"/>
        <w:spacing w:line="560" w:lineRule="exact"/>
      </w:pPr>
      <w:r>
        <w:br w:type="page"/>
      </w:r>
    </w:p>
    <w:p>
      <w:pPr>
        <w:keepNext/>
        <w:spacing w:line="560" w:lineRule="exact"/>
        <w:jc w:val="left"/>
        <w:outlineLvl w:val="1"/>
        <w:rPr>
          <w:rFonts w:ascii="仿宋" w:hAnsi="仿宋" w:eastAsia="仿宋"/>
          <w:sz w:val="32"/>
          <w:szCs w:val="32"/>
        </w:rPr>
      </w:pPr>
      <w:r>
        <w:rPr>
          <w:rFonts w:hint="eastAsia" w:ascii="仿宋" w:hAnsi="仿宋" w:eastAsia="仿宋"/>
          <w:sz w:val="32"/>
          <w:szCs w:val="32"/>
        </w:rPr>
        <w:t>附件3</w:t>
      </w:r>
    </w:p>
    <w:p>
      <w:pPr>
        <w:keepNext/>
        <w:spacing w:line="56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pageBreakBefore w:val="0"/>
              <w:widowControl w:val="0"/>
              <w:kinsoku/>
              <w:wordWrap/>
              <w:overflowPunct/>
              <w:topLinePunct w:val="0"/>
              <w:autoSpaceDE/>
              <w:autoSpaceDN/>
              <w:bidi w:val="0"/>
              <w:adjustRightInd/>
              <w:snapToGrid/>
              <w:spacing w:line="560" w:lineRule="exact"/>
              <w:jc w:val="both"/>
              <w:textAlignment w:val="auto"/>
              <w:outlineLvl w:val="9"/>
              <w:rPr>
                <w:rFonts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color w:val="auto"/>
                <w:kern w:val="0"/>
                <w:sz w:val="28"/>
                <w:szCs w:val="28"/>
                <w:highlight w:val="none"/>
                <w:lang w:val="en-US" w:eastAsia="zh-CN"/>
              </w:rPr>
              <w:t>青岛城投新能源集团有限公司</w:t>
            </w:r>
            <w:r>
              <w:rPr>
                <w:rFonts w:hint="eastAsia" w:ascii="仿宋" w:hAnsi="仿宋" w:eastAsia="仿宋" w:cs="仿宋"/>
                <w:sz w:val="28"/>
                <w:szCs w:val="28"/>
              </w:rPr>
              <w:t xml:space="preserve">                     </w:t>
            </w:r>
          </w:p>
          <w:p>
            <w:pPr>
              <w:spacing w:line="560" w:lineRule="exact"/>
              <w:jc w:val="left"/>
              <w:rPr>
                <w:rFonts w:hint="eastAsia" w:ascii="仿宋" w:hAnsi="仿宋" w:eastAsia="仿宋"/>
                <w:bCs/>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南曹鼎浩、崔阁明盛、德州豪盛应接尽接采购</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  日</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both"/>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 w:hAnsi="仿宋" w:eastAsia="仿宋" w:cs="仿宋"/>
                <w:sz w:val="28"/>
                <w:szCs w:val="28"/>
              </w:rPr>
            </w:pPr>
          </w:p>
          <w:p>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请勿在</w:t>
            </w:r>
            <w:r>
              <w:rPr>
                <w:rFonts w:hint="eastAsia" w:ascii="仿宋" w:hAnsi="仿宋" w:eastAsia="仿宋" w:cs="仿宋"/>
                <w:sz w:val="28"/>
                <w:szCs w:val="28"/>
                <w:lang w:val="en-US" w:eastAsia="zh-CN"/>
              </w:rPr>
              <w:t xml:space="preserve"> 2024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05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10 </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分之前启封</w:t>
            </w:r>
          </w:p>
          <w:p>
            <w:pPr>
              <w:spacing w:line="560" w:lineRule="exact"/>
              <w:jc w:val="center"/>
              <w:rPr>
                <w:rFonts w:hint="eastAsia" w:ascii="仿宋" w:hAnsi="仿宋" w:eastAsia="仿宋" w:cs="仿宋"/>
                <w:sz w:val="28"/>
                <w:szCs w:val="28"/>
              </w:rPr>
            </w:pPr>
          </w:p>
          <w:p>
            <w:pPr>
              <w:spacing w:line="560" w:lineRule="exact"/>
              <w:jc w:val="center"/>
              <w:rPr>
                <w:rFonts w:hint="eastAsia"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560" w:lineRule="exact"/>
              <w:jc w:val="center"/>
              <w:rPr>
                <w:rFonts w:ascii="仿宋" w:hAnsi="仿宋" w:eastAsia="仿宋" w:cs="仿宋"/>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p/>
    <w:sectPr>
      <w:footerReference r:id="rId10" w:type="first"/>
      <w:headerReference r:id="rId8" w:type="default"/>
      <w:footerReference r:id="rId9" w:type="default"/>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4097" name="文本框 2"/>
              <wp:cNvGraphicFramePr/>
              <a:graphic xmlns:a="http://schemas.openxmlformats.org/drawingml/2006/main">
                <a:graphicData uri="http://schemas.microsoft.com/office/word/2010/wordprocessingShape">
                  <wps:wsp>
                    <wps:cNvSpPr/>
                    <wps:spPr>
                      <a:xfrm>
                        <a:off x="0" y="0"/>
                        <a:ext cx="445135" cy="230505"/>
                      </a:xfrm>
                      <a:prstGeom prst="rect">
                        <a:avLst/>
                      </a:prstGeom>
                      <a:ln>
                        <a:noFill/>
                      </a:ln>
                    </wps:spPr>
                    <wps:txbx>
                      <w:txbxContent>
                        <w:p>
                          <w:pPr>
                            <w:pStyle w:val="5"/>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wps:txbx>
                    <wps:bodyPr vert="horz" wrap="none" lIns="0" tIns="0" rIns="0" bIns="0" anchor="t" upright="1">
                      <a:spAutoFit/>
                    </wps:bodyPr>
                  </wps:wsp>
                </a:graphicData>
              </a:graphic>
            </wp:anchor>
          </w:drawing>
        </mc:Choice>
        <mc:Fallback>
          <w:pict>
            <v:rect id="文本框 2" o:spid="_x0000_s1026" o:spt="1"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JSNrNIAAAADAQAADwAAAAAAAAABACAAAAAi&#10;AAAAZHJzL2Rvd25yZXYueG1sUEsBAhQAFAAAAAgAh07iQGK+EgDXAQAAnAMAAA4AAAAAAAAAAQAg&#10;AAAAIQEAAGRycy9lMm9Eb2MueG1sUEsFBgAAAAAGAAYAWQEAAGoFAAAAAA==&#10;">
              <v:fill on="f" focussize="0,0"/>
              <v:stroke on="f"/>
              <v:imagedata o:title=""/>
              <o:lock v:ext="edit" aspectratio="f"/>
              <v:textbox inset="0mm,0mm,0mm,0mm" style="mso-fit-shape-to-text:t;">
                <w:txbxContent>
                  <w:p>
                    <w:pPr>
                      <w:pStyle w:val="5"/>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4098" name="文本框 1"/>
              <wp:cNvGraphicFramePr/>
              <a:graphic xmlns:a="http://schemas.openxmlformats.org/drawingml/2006/main">
                <a:graphicData uri="http://schemas.microsoft.com/office/word/2010/wordprocessingShape">
                  <wps:wsp>
                    <wps:cNvSpPr/>
                    <wps:spPr>
                      <a:xfrm>
                        <a:off x="0" y="0"/>
                        <a:ext cx="445135" cy="230505"/>
                      </a:xfrm>
                      <a:prstGeom prst="rect">
                        <a:avLst/>
                      </a:prstGeom>
                      <a:ln>
                        <a:noFill/>
                      </a:ln>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upright="1">
                      <a:spAutoFit/>
                    </wps:bodyPr>
                  </wps:wsp>
                </a:graphicData>
              </a:graphic>
            </wp:anchor>
          </w:drawing>
        </mc:Choice>
        <mc:Fallback>
          <w:pict>
            <v:rect id="文本框 1" o:spid="_x0000_s1026" o:spt="1" style="position:absolute;left:0pt;margin-top:-8.25pt;height:18.15pt;width:35.05pt;mso-position-horizontal:outside;mso-position-horizontal-relative:margin;mso-wrap-style:none;z-index:251659264;mso-width-relative:page;mso-height-relative:page;" filled="f" stroked="f" coordsize="21600,21600" o:gfxdata="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7T4oNMAAAAGAQAADwAAAAAAAAABACAAAAAi&#10;AAAAZHJzL2Rvd25yZXYueG1sUEsBAhQAFAAAAAgAh07iQH+DC1fWAQAAnAMAAA4AAAAAAAAAAQAg&#10;AAAAIgEAAGRycy9lMm9Eb2MueG1sUEsFBgAAAAAGAAYAWQEAAGoFA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5"/>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5"/>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OGNlNGJiOGM1ZGMwNWQ4ZGQ4MGI4YTZiOGVlNDYifQ=="/>
  </w:docVars>
  <w:rsids>
    <w:rsidRoot w:val="00000000"/>
    <w:rsid w:val="021F6013"/>
    <w:rsid w:val="047F0629"/>
    <w:rsid w:val="04BB07AD"/>
    <w:rsid w:val="04CB54F2"/>
    <w:rsid w:val="05DE7F94"/>
    <w:rsid w:val="075F5104"/>
    <w:rsid w:val="078247CB"/>
    <w:rsid w:val="08BB636A"/>
    <w:rsid w:val="09484C21"/>
    <w:rsid w:val="09A92667"/>
    <w:rsid w:val="09D73678"/>
    <w:rsid w:val="0A9C3841"/>
    <w:rsid w:val="0C7A3B95"/>
    <w:rsid w:val="0CBF0B1F"/>
    <w:rsid w:val="0CE94B1D"/>
    <w:rsid w:val="0D703BC7"/>
    <w:rsid w:val="0D843E80"/>
    <w:rsid w:val="0E1924B1"/>
    <w:rsid w:val="0E835A95"/>
    <w:rsid w:val="0FA062BA"/>
    <w:rsid w:val="0FD047F0"/>
    <w:rsid w:val="102313C5"/>
    <w:rsid w:val="10A32505"/>
    <w:rsid w:val="10BE733F"/>
    <w:rsid w:val="11286567"/>
    <w:rsid w:val="117F6ACF"/>
    <w:rsid w:val="16CE6297"/>
    <w:rsid w:val="18424953"/>
    <w:rsid w:val="18700F1F"/>
    <w:rsid w:val="18BD0338"/>
    <w:rsid w:val="194505FE"/>
    <w:rsid w:val="195D7885"/>
    <w:rsid w:val="19E750D0"/>
    <w:rsid w:val="1A8545AF"/>
    <w:rsid w:val="1AF5570C"/>
    <w:rsid w:val="1B0C68DC"/>
    <w:rsid w:val="1B0F1EFE"/>
    <w:rsid w:val="1BD17F27"/>
    <w:rsid w:val="1D913EC3"/>
    <w:rsid w:val="20B2539B"/>
    <w:rsid w:val="22CD5CFD"/>
    <w:rsid w:val="231B4B6A"/>
    <w:rsid w:val="25154B55"/>
    <w:rsid w:val="25D3752E"/>
    <w:rsid w:val="25ED18A7"/>
    <w:rsid w:val="2645048E"/>
    <w:rsid w:val="2650413E"/>
    <w:rsid w:val="26552BE2"/>
    <w:rsid w:val="28900C5C"/>
    <w:rsid w:val="29CE5AA6"/>
    <w:rsid w:val="2A7725E1"/>
    <w:rsid w:val="2B597F39"/>
    <w:rsid w:val="2BB673E4"/>
    <w:rsid w:val="2C1874AC"/>
    <w:rsid w:val="2DB6565E"/>
    <w:rsid w:val="2EBD258D"/>
    <w:rsid w:val="2EDE74E8"/>
    <w:rsid w:val="30004E27"/>
    <w:rsid w:val="305864BB"/>
    <w:rsid w:val="31684AB7"/>
    <w:rsid w:val="332B492D"/>
    <w:rsid w:val="333E6034"/>
    <w:rsid w:val="36711FC0"/>
    <w:rsid w:val="36EF34FF"/>
    <w:rsid w:val="37592802"/>
    <w:rsid w:val="37D45054"/>
    <w:rsid w:val="38481119"/>
    <w:rsid w:val="39ED1F78"/>
    <w:rsid w:val="3A6D30B9"/>
    <w:rsid w:val="3A896A69"/>
    <w:rsid w:val="3AA71826"/>
    <w:rsid w:val="3BBC3E57"/>
    <w:rsid w:val="3DFC4E7F"/>
    <w:rsid w:val="40750F19"/>
    <w:rsid w:val="408A51DE"/>
    <w:rsid w:val="40E04855"/>
    <w:rsid w:val="438F11EC"/>
    <w:rsid w:val="45C269AF"/>
    <w:rsid w:val="46757146"/>
    <w:rsid w:val="46C93D6D"/>
    <w:rsid w:val="471C20EE"/>
    <w:rsid w:val="47CC58C3"/>
    <w:rsid w:val="493F20C4"/>
    <w:rsid w:val="499A0DA0"/>
    <w:rsid w:val="4B9B7F0B"/>
    <w:rsid w:val="5110512A"/>
    <w:rsid w:val="51126796"/>
    <w:rsid w:val="53D65097"/>
    <w:rsid w:val="54520EFE"/>
    <w:rsid w:val="55433CA3"/>
    <w:rsid w:val="561D19DF"/>
    <w:rsid w:val="5647080A"/>
    <w:rsid w:val="591470C9"/>
    <w:rsid w:val="59AF2FBF"/>
    <w:rsid w:val="5C166CB5"/>
    <w:rsid w:val="5CF52D6E"/>
    <w:rsid w:val="5D1613F1"/>
    <w:rsid w:val="5DDB01B6"/>
    <w:rsid w:val="5E79177D"/>
    <w:rsid w:val="5F812FDF"/>
    <w:rsid w:val="600050C5"/>
    <w:rsid w:val="61181721"/>
    <w:rsid w:val="61D21868"/>
    <w:rsid w:val="63B479E9"/>
    <w:rsid w:val="64142C2F"/>
    <w:rsid w:val="64D12D35"/>
    <w:rsid w:val="66D34635"/>
    <w:rsid w:val="672C229D"/>
    <w:rsid w:val="682C160E"/>
    <w:rsid w:val="685155BF"/>
    <w:rsid w:val="6AFC5C0F"/>
    <w:rsid w:val="6D0D4104"/>
    <w:rsid w:val="6D4024B2"/>
    <w:rsid w:val="6E0C6169"/>
    <w:rsid w:val="6FF34659"/>
    <w:rsid w:val="703F6A7D"/>
    <w:rsid w:val="704936A5"/>
    <w:rsid w:val="70500783"/>
    <w:rsid w:val="709C1A26"/>
    <w:rsid w:val="712C0119"/>
    <w:rsid w:val="715D2243"/>
    <w:rsid w:val="74EA296D"/>
    <w:rsid w:val="76F73EF4"/>
    <w:rsid w:val="77C44022"/>
    <w:rsid w:val="78A51A56"/>
    <w:rsid w:val="7B06386D"/>
    <w:rsid w:val="7B5B603A"/>
    <w:rsid w:val="7B62619A"/>
    <w:rsid w:val="7CCD2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ind w:left="998"/>
    </w:pPr>
    <w:rPr>
      <w:sz w:val="24"/>
      <w:szCs w:val="24"/>
    </w:rPr>
  </w:style>
  <w:style w:type="paragraph" w:styleId="4">
    <w:name w:val="annotation text"/>
    <w:basedOn w:val="1"/>
    <w:autoRedefine/>
    <w:qFormat/>
    <w:uiPriority w:val="0"/>
    <w:pPr>
      <w:jc w:val="left"/>
    </w:pPr>
  </w:style>
  <w:style w:type="paragraph" w:styleId="5">
    <w:name w:val="footer"/>
    <w:basedOn w:val="1"/>
    <w:autoRedefine/>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character" w:styleId="9">
    <w:name w:val="page number"/>
    <w:autoRedefine/>
    <w:unhideWhenUsed/>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2024-02-18T07:41:00Z</dcterms:created>
  <dc:creator>Lenovo</dc:creator>
  <cp:lastModifiedBy>sky</cp:lastModifiedBy>
  <dcterms:modified xsi:type="dcterms:W3CDTF">2024-05-06T05:57:31Z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262935A65DC3498DA3EA772160003244_13</vt:lpwstr>
  </property>
</Properties>
</file>