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青钢片区九年制学校建设工程水土保持监测询价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1.采购单位：青岛城投新城开发建设有限公司</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2.项目名称：青钢片区九年制学校建设工程水土保持监测</w:t>
      </w:r>
    </w:p>
    <w:p>
      <w:pPr>
        <w:spacing w:line="560" w:lineRule="exact"/>
        <w:ind w:firstLine="640" w:firstLineChars="200"/>
        <w:jc w:val="left"/>
        <w:rPr>
          <w:rFonts w:ascii="仿宋_GB2312" w:hAnsi="宋体" w:eastAsia="仿宋_GB2312" w:cs="宋体"/>
          <w:kern w:val="0"/>
          <w:sz w:val="32"/>
          <w:szCs w:val="32"/>
          <w:lang w:val="zh-CN"/>
        </w:rPr>
      </w:pPr>
      <w:r>
        <w:rPr>
          <w:rFonts w:hint="eastAsia" w:ascii="仿宋_GB2312" w:hAnsi="仿宋_GB2312" w:eastAsia="仿宋_GB2312" w:cs="仿宋_GB2312"/>
          <w:kern w:val="0"/>
          <w:sz w:val="32"/>
          <w:szCs w:val="32"/>
        </w:rPr>
        <w:t>3.工程概况：</w:t>
      </w:r>
      <w:r>
        <w:rPr>
          <w:rFonts w:hint="eastAsia" w:ascii="仿宋_GB2312" w:hAnsi="宋体" w:eastAsia="仿宋_GB2312" w:cs="宋体"/>
          <w:kern w:val="0"/>
          <w:sz w:val="32"/>
          <w:szCs w:val="32"/>
          <w:lang w:val="zh-CN"/>
        </w:rPr>
        <w:t>项目总占地面积72.6亩。新建九年制学校一座，共54班，其中小学36个班，每班45人，共1620人，初中18班，每班50人，共900人；配置教学楼3栋、风雨操场，学生教师餐厅、报告厅、400米跑道、篮球场、排球场、游戏场地等设施等。项目总投资30998.5万元，其中主体土建投资18706.31万元。</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4.服务内容：青钢片区九年制学校建设工程施工过程中的水土保持监测。</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仿宋_GB2312" w:eastAsia="仿宋_GB2312" w:cs="仿宋_GB2312"/>
          <w:kern w:val="0"/>
          <w:sz w:val="32"/>
          <w:szCs w:val="32"/>
        </w:rPr>
        <w:t>5.服务地点：</w:t>
      </w:r>
      <w:r>
        <w:rPr>
          <w:rFonts w:hint="eastAsia" w:ascii="仿宋_GB2312" w:hAnsi="宋体" w:eastAsia="仿宋_GB2312" w:cs="宋体"/>
          <w:kern w:val="0"/>
          <w:sz w:val="32"/>
          <w:szCs w:val="32"/>
          <w:lang w:val="zh-CN"/>
        </w:rPr>
        <w:t>李沧区娄山街道办事处规划创业路以南、规划横六路以北、规划纵六路以东、规划楼山二支路以西。</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6.采购预算：54100元。</w:t>
      </w:r>
      <w:r>
        <w:rPr>
          <w:rFonts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eastAsia="仿宋_GB2312"/>
          <w:sz w:val="32"/>
          <w:szCs w:val="32"/>
        </w:rPr>
        <w:t>在中华人民共和国境内注册，具有独立法人资格；</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2.近三年（2021年1月1日至今）</w:t>
      </w:r>
      <w:r>
        <w:rPr>
          <w:rFonts w:hint="eastAsia" w:ascii="仿宋_GB2312" w:hAnsi="宋体" w:eastAsia="仿宋_GB2312" w:cs="宋体"/>
          <w:kern w:val="0"/>
          <w:sz w:val="32"/>
          <w:szCs w:val="32"/>
          <w:lang w:val="zh-CN"/>
        </w:rPr>
        <w:t>承接过水土保持项目（服务内容需包含水土保持监测）同类业绩。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1.服务内容</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按照法律法规等并结合国家、山东省、青岛市有关建设项目对青钢片区九年制学校建设工程水土保持监测，主要监测工作内容：依据《青钢片区九年制学校建设工程水土保持方案报告书》结合现场施工情况，对生产建设活动可能造成水土流失进行监测、对现场施工单位提出水土保持整改建议和意见、对项目水土保持进行“绿黄红”三色评价、及时定量掌握水土流失及防治状况、按照有关规定及时向水行政主管部门报送监测技术成果，并同步上传至全国水土保持信息管理系统。</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2.技术要求</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水土保持监测应执行以下技术标准（包括但不限于以下内容）：《中华人民共和国水土保持法》、《山东省水土保持条例》、《生产建设项目水土保持技术标准》（GB50433-2018）、《生产建设项目土壤流失量测算导则》（SL773-2018）等。</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3.成果要求：依据相关法规政策对项目施工过程进行水土保持监测，按照有关规定及时向水行政主管部门报送水土保持监测实施方案，每个季度第一个月提交上一个季度的监测季度报告，监测工作完成后3个月内完成水土保持监测总结报告，并同步上传至全国水土保持信息管理系统。完工后配合采购单位完成水土保持验收工作。</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4.人员要求：项目负责人1名，应具有水利工程或水土保持高级及以上职称；其他技术人员不少于3名，应具工程类相关专业中级及以上职称。</w:t>
      </w:r>
    </w:p>
    <w:p>
      <w:pPr>
        <w:adjustRightInd w:val="0"/>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5.服务期限：合同签订后至水土保持验收工作完成。</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1.报价为含税全包价，包括监测设施费、施工期监测费等完成所有服务的所有费用。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无需胶装)。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1.报价截止时间：2024年5月31日15点整。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联系人:尹经理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ascii="仿宋" w:hAnsi="仿宋" w:eastAsia="仿宋" w:cs="仿宋"/>
          <w:sz w:val="30"/>
          <w:szCs w:val="30"/>
        </w:rPr>
      </w:pPr>
      <w:r>
        <w:rPr>
          <w:rFonts w:hint="eastAsia" w:ascii="仿宋_GB2312" w:hAnsi="仿宋_GB2312" w:eastAsia="仿宋_GB2312" w:cs="仿宋_GB2312"/>
          <w:kern w:val="0"/>
          <w:sz w:val="32"/>
          <w:szCs w:val="32"/>
        </w:rPr>
        <w:t>2024年5月</w:t>
      </w:r>
      <w:r>
        <w:rPr>
          <w:rFonts w:hint="eastAsia" w:ascii="仿宋_GB2312" w:eastAsia="仿宋_GB2312"/>
          <w:sz w:val="32"/>
          <w:szCs w:val="32"/>
        </w:rPr>
        <w:t>28</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bookmarkStart w:id="0" w:name="_GoBack"/>
      <w:bookmarkEnd w:id="0"/>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(姓名)系我单位的法定代表人，现授权</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(单位名称) 的 </w:t>
      </w:r>
      <w:r>
        <w:rPr>
          <w:rFonts w:hint="eastAsia" w:ascii="仿宋" w:hAnsi="仿宋" w:eastAsia="仿宋" w:cs="仿宋"/>
          <w:sz w:val="30"/>
          <w:szCs w:val="30"/>
          <w:u w:val="single"/>
        </w:rPr>
        <w:t xml:space="preserve">       </w:t>
      </w:r>
      <w:r>
        <w:rPr>
          <w:rFonts w:hint="eastAsia" w:ascii="仿宋" w:hAnsi="仿宋" w:eastAsia="仿宋" w:cs="仿宋"/>
          <w:sz w:val="30"/>
          <w:szCs w:val="30"/>
        </w:rPr>
        <w:t>(姓名) 为我公司参与</w:t>
      </w:r>
      <w:r>
        <w:rPr>
          <w:rFonts w:hint="eastAsia" w:ascii="仿宋" w:hAnsi="仿宋" w:eastAsia="仿宋" w:cs="仿宋"/>
          <w:sz w:val="30"/>
          <w:szCs w:val="30"/>
          <w:u w:val="single"/>
        </w:rPr>
        <w:t>青钢片区九年制学校建设工程水土保持监测</w:t>
      </w:r>
      <w:r>
        <w:rPr>
          <w:rFonts w:hint="eastAsia" w:ascii="仿宋" w:hAnsi="仿宋" w:eastAsia="仿宋" w:cs="仿宋"/>
          <w:sz w:val="30"/>
          <w:szCs w:val="30"/>
        </w:rPr>
        <w:t>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青钢片区九年制学校建设工程水土保持监测</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青钢片区九年制学校建设工程水土保持监测报价单</w:t>
      </w:r>
    </w:p>
    <w:tbl>
      <w:tblPr>
        <w:tblStyle w:val="10"/>
        <w:tblW w:w="89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419"/>
        <w:gridCol w:w="1416"/>
        <w:gridCol w:w="2608"/>
        <w:gridCol w:w="135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81"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416"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基价（万元）</w:t>
            </w:r>
          </w:p>
        </w:tc>
        <w:tc>
          <w:tcPr>
            <w:tcW w:w="2608"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计算公式</w:t>
            </w:r>
          </w:p>
        </w:tc>
        <w:tc>
          <w:tcPr>
            <w:tcW w:w="1350"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报价折扣</w:t>
            </w:r>
          </w:p>
        </w:tc>
        <w:tc>
          <w:tcPr>
            <w:tcW w:w="1545"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备注</w:t>
            </w:r>
          </w:p>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exact"/>
        </w:trPr>
        <w:tc>
          <w:tcPr>
            <w:tcW w:w="581"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1419" w:type="dxa"/>
            <w:vAlign w:val="center"/>
          </w:tcPr>
          <w:p>
            <w:pPr>
              <w:autoSpaceDE w:val="0"/>
              <w:autoSpaceDN w:val="0"/>
              <w:adjustRightInd w:val="0"/>
              <w:spacing w:line="360" w:lineRule="auto"/>
              <w:jc w:val="center"/>
              <w:rPr>
                <w:rFonts w:eastAsia="仿宋"/>
                <w:sz w:val="24"/>
              </w:rPr>
            </w:pPr>
            <w:r>
              <w:rPr>
                <w:rFonts w:hint="eastAsia" w:eastAsia="仿宋"/>
                <w:sz w:val="24"/>
              </w:rPr>
              <w:t>青钢片区九年制学校建设工程水土保持监测</w:t>
            </w:r>
          </w:p>
        </w:tc>
        <w:tc>
          <w:tcPr>
            <w:tcW w:w="1416" w:type="dxa"/>
            <w:vAlign w:val="center"/>
          </w:tcPr>
          <w:p>
            <w:pPr>
              <w:autoSpaceDE w:val="0"/>
              <w:autoSpaceDN w:val="0"/>
              <w:adjustRightInd w:val="0"/>
              <w:spacing w:line="360" w:lineRule="auto"/>
              <w:jc w:val="center"/>
              <w:rPr>
                <w:rFonts w:eastAsia="仿宋"/>
                <w:sz w:val="24"/>
              </w:rPr>
            </w:pPr>
            <w:r>
              <w:rPr>
                <w:rFonts w:hint="eastAsia" w:eastAsia="仿宋"/>
                <w:sz w:val="24"/>
              </w:rPr>
              <w:t>18706.31</w:t>
            </w:r>
          </w:p>
        </w:tc>
        <w:tc>
          <w:tcPr>
            <w:tcW w:w="2608" w:type="dxa"/>
          </w:tcPr>
          <w:p>
            <w:pPr>
              <w:autoSpaceDE w:val="0"/>
              <w:autoSpaceDN w:val="0"/>
              <w:adjustRightInd w:val="0"/>
              <w:spacing w:line="360" w:lineRule="auto"/>
              <w:jc w:val="center"/>
              <w:rPr>
                <w:rFonts w:eastAsia="仿宋"/>
                <w:sz w:val="24"/>
              </w:rPr>
            </w:pPr>
          </w:p>
        </w:tc>
        <w:tc>
          <w:tcPr>
            <w:tcW w:w="1350" w:type="dxa"/>
          </w:tcPr>
          <w:p>
            <w:pPr>
              <w:autoSpaceDE w:val="0"/>
              <w:autoSpaceDN w:val="0"/>
              <w:adjustRightInd w:val="0"/>
              <w:spacing w:line="360" w:lineRule="auto"/>
              <w:jc w:val="center"/>
              <w:rPr>
                <w:rFonts w:eastAsia="仿宋"/>
                <w:sz w:val="24"/>
              </w:rPr>
            </w:pPr>
          </w:p>
        </w:tc>
        <w:tc>
          <w:tcPr>
            <w:tcW w:w="1545"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200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最终报价（元）</w:t>
            </w:r>
          </w:p>
        </w:tc>
        <w:tc>
          <w:tcPr>
            <w:tcW w:w="6919" w:type="dxa"/>
            <w:gridSpan w:val="4"/>
            <w:vAlign w:val="center"/>
          </w:tcPr>
          <w:p>
            <w:pPr>
              <w:autoSpaceDE w:val="0"/>
              <w:autoSpaceDN w:val="0"/>
              <w:adjustRightInd w:val="0"/>
              <w:spacing w:line="360" w:lineRule="auto"/>
              <w:rPr>
                <w:rFonts w:eastAsia="仿宋"/>
                <w:sz w:val="24"/>
              </w:rPr>
            </w:pPr>
            <w:r>
              <w:rPr>
                <w:rFonts w:hint="eastAsia" w:eastAsia="仿宋"/>
                <w:sz w:val="24"/>
              </w:rPr>
              <w:t>小写：</w:t>
            </w:r>
          </w:p>
          <w:p>
            <w:pPr>
              <w:autoSpaceDE w:val="0"/>
              <w:autoSpaceDN w:val="0"/>
              <w:adjustRightInd w:val="0"/>
              <w:spacing w:line="360" w:lineRule="auto"/>
            </w:pPr>
            <w:r>
              <w:rPr>
                <w:rFonts w:hint="eastAsia" w:eastAsia="仿宋"/>
                <w:sz w:val="24"/>
              </w:rPr>
              <w:t>大写：</w:t>
            </w:r>
          </w:p>
        </w:tc>
      </w:tr>
    </w:tbl>
    <w:p>
      <w:pPr>
        <w:spacing w:line="400" w:lineRule="exact"/>
        <w:rPr>
          <w:rFonts w:ascii="仿宋" w:hAnsi="仿宋" w:eastAsia="仿宋" w:cs="宋体"/>
          <w:color w:val="FF0000"/>
          <w:sz w:val="22"/>
          <w:szCs w:val="21"/>
          <w:lang w:val="zh-CN"/>
        </w:rPr>
      </w:pP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备注：</w:t>
      </w:r>
      <w:r>
        <w:rPr>
          <w:rFonts w:hint="eastAsia" w:ascii="仿宋_GB2312" w:eastAsia="仿宋_GB2312"/>
          <w:sz w:val="32"/>
          <w:szCs w:val="32"/>
        </w:rPr>
        <w:t>报价为含税全包价，包括监测设施费、施工期监测费等完成所有服务的所有费用。</w:t>
      </w:r>
    </w:p>
    <w:p>
      <w:pPr>
        <w:widowControl/>
        <w:jc w:val="left"/>
        <w:rPr>
          <w:rFonts w:ascii="仿宋_GB2312" w:hAnsi="仿宋" w:eastAsia="仿宋_GB2312"/>
          <w:color w:val="000000"/>
          <w:sz w:val="28"/>
          <w:szCs w:val="28"/>
        </w:rPr>
      </w:pP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日期：****年**月**日</w:t>
      </w:r>
    </w:p>
    <w:p>
      <w:pPr>
        <w:widowControl/>
        <w:ind w:right="600" w:firstLine="3080" w:firstLineChars="1100"/>
        <w:rPr>
          <w:rFonts w:ascii="仿宋_GB2312" w:hAnsi="仿宋" w:eastAsia="仿宋_GB2312"/>
          <w:color w:val="000000"/>
          <w:sz w:val="28"/>
          <w:szCs w:val="28"/>
        </w:rPr>
      </w:pP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931"/>
        <w:gridCol w:w="2002"/>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9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0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其他技术人员</w:t>
            </w: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其他技术人员</w:t>
            </w: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其他技术人员</w:t>
            </w: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3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cstheme="minorEastAsia"/>
                <w:sz w:val="24"/>
                <w:szCs w:val="24"/>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3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3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3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3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00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708DD"/>
    <w:rsid w:val="000D7B88"/>
    <w:rsid w:val="000E0178"/>
    <w:rsid w:val="00162D26"/>
    <w:rsid w:val="001A5612"/>
    <w:rsid w:val="001D07D8"/>
    <w:rsid w:val="001D6239"/>
    <w:rsid w:val="00251674"/>
    <w:rsid w:val="002A0A1C"/>
    <w:rsid w:val="002A70C4"/>
    <w:rsid w:val="002B7968"/>
    <w:rsid w:val="002C687D"/>
    <w:rsid w:val="002C71E2"/>
    <w:rsid w:val="00326531"/>
    <w:rsid w:val="00332024"/>
    <w:rsid w:val="00397038"/>
    <w:rsid w:val="003B4983"/>
    <w:rsid w:val="003F1BC3"/>
    <w:rsid w:val="004070F3"/>
    <w:rsid w:val="004435CC"/>
    <w:rsid w:val="00474130"/>
    <w:rsid w:val="0047757D"/>
    <w:rsid w:val="004E4B2B"/>
    <w:rsid w:val="00536018"/>
    <w:rsid w:val="0054681F"/>
    <w:rsid w:val="00547E9F"/>
    <w:rsid w:val="00566030"/>
    <w:rsid w:val="005C6DC8"/>
    <w:rsid w:val="00691D0F"/>
    <w:rsid w:val="0069274E"/>
    <w:rsid w:val="006C55AC"/>
    <w:rsid w:val="006F0053"/>
    <w:rsid w:val="00730153"/>
    <w:rsid w:val="00732F2B"/>
    <w:rsid w:val="007B7BBF"/>
    <w:rsid w:val="008150C9"/>
    <w:rsid w:val="00850521"/>
    <w:rsid w:val="00854C04"/>
    <w:rsid w:val="008745C9"/>
    <w:rsid w:val="008839F0"/>
    <w:rsid w:val="008B1554"/>
    <w:rsid w:val="008C65D2"/>
    <w:rsid w:val="00902B6A"/>
    <w:rsid w:val="009068B7"/>
    <w:rsid w:val="00924BC5"/>
    <w:rsid w:val="00933819"/>
    <w:rsid w:val="00982B6A"/>
    <w:rsid w:val="00991005"/>
    <w:rsid w:val="00996968"/>
    <w:rsid w:val="009C1668"/>
    <w:rsid w:val="009E6D05"/>
    <w:rsid w:val="00A23005"/>
    <w:rsid w:val="00A706D3"/>
    <w:rsid w:val="00A755E1"/>
    <w:rsid w:val="00A84DA1"/>
    <w:rsid w:val="00A97241"/>
    <w:rsid w:val="00AA39A5"/>
    <w:rsid w:val="00AD2F13"/>
    <w:rsid w:val="00AE4481"/>
    <w:rsid w:val="00BA7D68"/>
    <w:rsid w:val="00BD23C5"/>
    <w:rsid w:val="00BD48C2"/>
    <w:rsid w:val="00C435AD"/>
    <w:rsid w:val="00C6294B"/>
    <w:rsid w:val="00C9607C"/>
    <w:rsid w:val="00D14258"/>
    <w:rsid w:val="00D40D26"/>
    <w:rsid w:val="00D737EC"/>
    <w:rsid w:val="00DA4C85"/>
    <w:rsid w:val="00DE091B"/>
    <w:rsid w:val="00DE706D"/>
    <w:rsid w:val="00E000CD"/>
    <w:rsid w:val="00E24DD2"/>
    <w:rsid w:val="00E72466"/>
    <w:rsid w:val="00E83238"/>
    <w:rsid w:val="00E949B8"/>
    <w:rsid w:val="00EB03AE"/>
    <w:rsid w:val="00EE1DD3"/>
    <w:rsid w:val="00F42D56"/>
    <w:rsid w:val="00F812DD"/>
    <w:rsid w:val="00F83D6D"/>
    <w:rsid w:val="00FA33F9"/>
    <w:rsid w:val="00FB77A7"/>
    <w:rsid w:val="00FC5EAB"/>
    <w:rsid w:val="00FE2FC0"/>
    <w:rsid w:val="01F80AC9"/>
    <w:rsid w:val="023340C8"/>
    <w:rsid w:val="03923DE0"/>
    <w:rsid w:val="05B9052D"/>
    <w:rsid w:val="09023CF6"/>
    <w:rsid w:val="0DBC0BBA"/>
    <w:rsid w:val="0E76520D"/>
    <w:rsid w:val="10342683"/>
    <w:rsid w:val="11230F50"/>
    <w:rsid w:val="116D239E"/>
    <w:rsid w:val="13E76BAD"/>
    <w:rsid w:val="14E46C49"/>
    <w:rsid w:val="161D3B2C"/>
    <w:rsid w:val="1A4C59BC"/>
    <w:rsid w:val="24D97E4C"/>
    <w:rsid w:val="27BE3B52"/>
    <w:rsid w:val="2D964F0B"/>
    <w:rsid w:val="2F6D7037"/>
    <w:rsid w:val="324F79A0"/>
    <w:rsid w:val="36010EE0"/>
    <w:rsid w:val="362A0508"/>
    <w:rsid w:val="371E780B"/>
    <w:rsid w:val="372E04CB"/>
    <w:rsid w:val="3795122B"/>
    <w:rsid w:val="390F70E1"/>
    <w:rsid w:val="39E92488"/>
    <w:rsid w:val="40EE65D6"/>
    <w:rsid w:val="41F8770C"/>
    <w:rsid w:val="455F7AA2"/>
    <w:rsid w:val="45E16709"/>
    <w:rsid w:val="48A47285"/>
    <w:rsid w:val="4963540B"/>
    <w:rsid w:val="4D630BFB"/>
    <w:rsid w:val="507F3EA0"/>
    <w:rsid w:val="50B769E4"/>
    <w:rsid w:val="52DE290D"/>
    <w:rsid w:val="5B290B78"/>
    <w:rsid w:val="5E5D0BCB"/>
    <w:rsid w:val="60D5619C"/>
    <w:rsid w:val="61A82EB5"/>
    <w:rsid w:val="61D32E0B"/>
    <w:rsid w:val="66533C9C"/>
    <w:rsid w:val="68925915"/>
    <w:rsid w:val="694B3E8B"/>
    <w:rsid w:val="6C4038DA"/>
    <w:rsid w:val="7B851309"/>
    <w:rsid w:val="7D5078E4"/>
    <w:rsid w:val="7E6F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4"/>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spacing w:line="540" w:lineRule="exact"/>
      <w:ind w:firstLine="480" w:firstLineChars="200"/>
    </w:pPr>
    <w:rPr>
      <w:sz w:val="24"/>
    </w:rPr>
  </w:style>
  <w:style w:type="paragraph" w:styleId="5">
    <w:name w:val="Body Text Indent 2"/>
    <w:basedOn w:val="1"/>
    <w:link w:val="15"/>
    <w:autoRedefine/>
    <w:qFormat/>
    <w:uiPriority w:val="0"/>
    <w:pPr>
      <w:spacing w:after="120" w:line="480" w:lineRule="auto"/>
      <w:ind w:left="420" w:leftChars="200"/>
    </w:pPr>
  </w:style>
  <w:style w:type="paragraph" w:styleId="6">
    <w:name w:val="Balloon Text"/>
    <w:basedOn w:val="1"/>
    <w:link w:val="17"/>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spacing w:after="120" w:line="240" w:lineRule="auto"/>
      <w:ind w:left="420" w:leftChars="200" w:firstLine="420"/>
    </w:pPr>
    <w:rPr>
      <w:rFonts w:ascii="Times New Roman" w:hAnsi="Times New Roman" w:eastAsia="宋体" w:cs="Times New Roman"/>
      <w:sz w:val="21"/>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4 Char"/>
    <w:basedOn w:val="11"/>
    <w:link w:val="3"/>
    <w:autoRedefine/>
    <w:qFormat/>
    <w:uiPriority w:val="9"/>
    <w:rPr>
      <w:rFonts w:ascii="Cambria" w:hAnsi="Cambria"/>
      <w:b/>
      <w:kern w:val="0"/>
      <w:sz w:val="28"/>
      <w:szCs w:val="20"/>
    </w:rPr>
  </w:style>
  <w:style w:type="character" w:customStyle="1" w:styleId="15">
    <w:name w:val="正文文本缩进 2 Char"/>
    <w:basedOn w:val="11"/>
    <w:link w:val="5"/>
    <w:qFormat/>
    <w:uiPriority w:val="0"/>
  </w:style>
  <w:style w:type="paragraph" w:customStyle="1" w:styleId="16">
    <w:name w:val="表格"/>
    <w:basedOn w:val="1"/>
    <w:qFormat/>
    <w:uiPriority w:val="0"/>
    <w:pPr>
      <w:jc w:val="center"/>
    </w:pPr>
    <w:rPr>
      <w:rFonts w:ascii="仿宋" w:hAnsi="仿宋" w:eastAsia="仿宋"/>
      <w:szCs w:val="21"/>
    </w:rPr>
  </w:style>
  <w:style w:type="character" w:customStyle="1" w:styleId="17">
    <w:name w:val="批注框文本 Char"/>
    <w:basedOn w:val="11"/>
    <w:link w:val="6"/>
    <w:autoRedefine/>
    <w:semiHidden/>
    <w:qFormat/>
    <w:uiPriority w:val="99"/>
    <w:rPr>
      <w:kern w:val="2"/>
      <w:sz w:val="18"/>
      <w:szCs w:val="18"/>
    </w:rPr>
  </w:style>
  <w:style w:type="character" w:customStyle="1" w:styleId="18">
    <w:name w:val="font71"/>
    <w:basedOn w:val="11"/>
    <w:autoRedefine/>
    <w:qFormat/>
    <w:uiPriority w:val="0"/>
    <w:rPr>
      <w:rFonts w:hint="eastAsia" w:ascii="宋体" w:hAnsi="宋体" w:eastAsia="宋体" w:cs="宋体"/>
      <w:b/>
      <w:bCs/>
      <w:color w:val="000000"/>
      <w:sz w:val="22"/>
      <w:szCs w:val="22"/>
      <w:u w:val="none"/>
    </w:rPr>
  </w:style>
  <w:style w:type="character" w:customStyle="1" w:styleId="19">
    <w:name w:val="font31"/>
    <w:basedOn w:val="11"/>
    <w:qFormat/>
    <w:uiPriority w:val="0"/>
    <w:rPr>
      <w:rFonts w:hint="eastAsia" w:ascii="微软雅黑" w:hAnsi="微软雅黑" w:eastAsia="微软雅黑" w:cs="微软雅黑"/>
      <w:color w:val="000000"/>
      <w:sz w:val="20"/>
      <w:szCs w:val="20"/>
      <w:u w:val="none"/>
    </w:rPr>
  </w:style>
  <w:style w:type="character" w:customStyle="1" w:styleId="20">
    <w:name w:val="font81"/>
    <w:basedOn w:val="11"/>
    <w:qFormat/>
    <w:uiPriority w:val="0"/>
    <w:rPr>
      <w:rFonts w:hint="eastAsia" w:ascii="宋体" w:hAnsi="宋体" w:eastAsia="宋体" w:cs="宋体"/>
      <w:color w:val="000000"/>
      <w:sz w:val="20"/>
      <w:szCs w:val="20"/>
      <w:u w:val="none"/>
    </w:rPr>
  </w:style>
  <w:style w:type="character" w:customStyle="1" w:styleId="21">
    <w:name w:val="font61"/>
    <w:basedOn w:val="11"/>
    <w:autoRedefine/>
    <w:qFormat/>
    <w:uiPriority w:val="0"/>
    <w:rPr>
      <w:rFonts w:hint="eastAsia" w:ascii="宋体" w:hAnsi="宋体" w:eastAsia="宋体" w:cs="宋体"/>
      <w:b/>
      <w:bCs/>
      <w:color w:val="000000"/>
      <w:sz w:val="24"/>
      <w:szCs w:val="24"/>
      <w:u w:val="none"/>
    </w:rPr>
  </w:style>
  <w:style w:type="character" w:customStyle="1" w:styleId="22">
    <w:name w:val="font0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宋体" w:hAnsi="宋体" w:eastAsia="宋体" w:cs="宋体"/>
      <w:b/>
      <w:bCs/>
      <w:color w:val="000000"/>
      <w:sz w:val="24"/>
      <w:szCs w:val="24"/>
      <w:u w:val="none"/>
    </w:rPr>
  </w:style>
  <w:style w:type="character" w:customStyle="1" w:styleId="24">
    <w:name w:val="font21"/>
    <w:basedOn w:val="11"/>
    <w:autoRedefine/>
    <w:qFormat/>
    <w:uiPriority w:val="0"/>
    <w:rPr>
      <w:rFonts w:ascii="微软雅黑" w:hAnsi="微软雅黑" w:eastAsia="微软雅黑" w:cs="微软雅黑"/>
      <w:color w:val="000000"/>
      <w:sz w:val="20"/>
      <w:szCs w:val="20"/>
      <w:u w:val="none"/>
    </w:rPr>
  </w:style>
  <w:style w:type="paragraph" w:customStyle="1" w:styleId="25">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2418</Words>
  <Characters>2582</Characters>
  <Lines>22</Lines>
  <Paragraphs>6</Paragraphs>
  <TotalTime>11</TotalTime>
  <ScaleCrop>false</ScaleCrop>
  <LinksUpToDate>false</LinksUpToDate>
  <CharactersWithSpaces>3027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cp:lastPrinted>2024-02-19T01:02:00Z</cp:lastPrinted>
  <dcterms:modified xsi:type="dcterms:W3CDTF">2024-05-28T03:20:23Z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1B92A72BD19E415B9FF3B21FB91046AE_13</vt:lpwstr>
  </property>
</Properties>
</file>